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47" w:rsidRDefault="00790747" w:rsidP="00790747">
      <w:pPr>
        <w:tabs>
          <w:tab w:val="left" w:pos="216"/>
        </w:tabs>
        <w:spacing w:after="0" w:line="240" w:lineRule="auto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Tabla de Aplicabilidad </w:t>
      </w:r>
      <w:r w:rsidR="00D261C3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>Integral</w:t>
      </w:r>
      <w:r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 </w:t>
      </w:r>
    </w:p>
    <w:p w:rsidR="00790747" w:rsidRDefault="00790747" w:rsidP="00790747">
      <w:pPr>
        <w:tabs>
          <w:tab w:val="left" w:pos="216"/>
        </w:tabs>
        <w:spacing w:after="0" w:line="240" w:lineRule="auto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Obligaciones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:rsidR="00790747" w:rsidRDefault="00790747" w:rsidP="00790747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</w:pPr>
    </w:p>
    <w:p w:rsidR="00790747" w:rsidRDefault="00790747" w:rsidP="00790747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szCs w:val="32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Sujeto obligado: </w:t>
      </w:r>
      <w:r w:rsidR="00D261C3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szCs w:val="24"/>
          <w:lang w:eastAsia="es-MX"/>
        </w:rPr>
        <w:t>NovaUniversitas</w:t>
      </w:r>
    </w:p>
    <w:p w:rsidR="00043E97" w:rsidRPr="00CB29BD" w:rsidRDefault="00043E97" w:rsidP="00043E97">
      <w:pPr>
        <w:tabs>
          <w:tab w:val="left" w:pos="216"/>
        </w:tabs>
        <w:spacing w:after="0" w:line="240" w:lineRule="auto"/>
        <w:ind w:left="70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3"/>
        <w:gridCol w:w="3402"/>
        <w:gridCol w:w="1043"/>
        <w:gridCol w:w="3493"/>
        <w:gridCol w:w="1932"/>
        <w:gridCol w:w="2321"/>
      </w:tblGrid>
      <w:tr w:rsidR="00342CCE" w:rsidRPr="00421686" w:rsidTr="00840B2B">
        <w:trPr>
          <w:cantSplit/>
          <w:trHeight w:val="836"/>
          <w:tblHeader/>
          <w:jc w:val="center"/>
        </w:trPr>
        <w:tc>
          <w:tcPr>
            <w:tcW w:w="2263" w:type="dxa"/>
            <w:shd w:val="clear" w:color="auto" w:fill="D6E3BC" w:themeFill="accent3" w:themeFillTint="66"/>
            <w:noWrap/>
            <w:vAlign w:val="center"/>
            <w:hideMark/>
          </w:tcPr>
          <w:p w:rsidR="00342CCE" w:rsidRPr="00421686" w:rsidRDefault="00342CCE" w:rsidP="00DF2BB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sz w:val="16"/>
                <w:szCs w:val="16"/>
                <w:lang w:eastAsia="es-MX"/>
              </w:rPr>
              <w:t>ARTÍCULO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  <w:hideMark/>
          </w:tcPr>
          <w:p w:rsidR="00342CCE" w:rsidRPr="00421686" w:rsidRDefault="00342CCE" w:rsidP="00DF2BB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sz w:val="16"/>
                <w:szCs w:val="16"/>
                <w:lang w:eastAsia="es-MX"/>
              </w:rPr>
              <w:t>FRACCIÓN</w:t>
            </w:r>
          </w:p>
        </w:tc>
        <w:tc>
          <w:tcPr>
            <w:tcW w:w="1043" w:type="dxa"/>
            <w:shd w:val="clear" w:color="auto" w:fill="D6E3BC" w:themeFill="accent3" w:themeFillTint="66"/>
            <w:vAlign w:val="center"/>
          </w:tcPr>
          <w:p w:rsidR="00342CCE" w:rsidRPr="00421686" w:rsidRDefault="00342CCE" w:rsidP="00E774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sz w:val="16"/>
                <w:szCs w:val="16"/>
                <w:lang w:eastAsia="es-MX"/>
              </w:rPr>
              <w:t>APLICA/NO APLICA</w:t>
            </w:r>
          </w:p>
        </w:tc>
        <w:tc>
          <w:tcPr>
            <w:tcW w:w="3493" w:type="dxa"/>
            <w:shd w:val="clear" w:color="auto" w:fill="D6E3BC" w:themeFill="accent3" w:themeFillTint="66"/>
            <w:vAlign w:val="center"/>
          </w:tcPr>
          <w:p w:rsidR="00342CCE" w:rsidRPr="00421686" w:rsidRDefault="00342CCE" w:rsidP="00E435B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sz w:val="16"/>
                <w:szCs w:val="16"/>
                <w:lang w:eastAsia="es-MX"/>
              </w:rPr>
              <w:t>MOTIVACIÓN Y FUNDAMENTO</w:t>
            </w:r>
          </w:p>
        </w:tc>
        <w:tc>
          <w:tcPr>
            <w:tcW w:w="1932" w:type="dxa"/>
            <w:shd w:val="clear" w:color="auto" w:fill="D6E3BC" w:themeFill="accent3" w:themeFillTint="66"/>
            <w:vAlign w:val="center"/>
          </w:tcPr>
          <w:p w:rsidR="00342CCE" w:rsidRPr="00421686" w:rsidRDefault="00342CCE" w:rsidP="00D0413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sz w:val="16"/>
                <w:szCs w:val="16"/>
                <w:lang w:eastAsia="es-MX"/>
              </w:rPr>
              <w:t>UNIDAD ADMINISTRATIVA RESPONSABLE DE GENERAR LA INFORMACIÓN</w:t>
            </w:r>
          </w:p>
        </w:tc>
        <w:tc>
          <w:tcPr>
            <w:tcW w:w="2321" w:type="dxa"/>
            <w:shd w:val="clear" w:color="auto" w:fill="D6E3BC" w:themeFill="accent3" w:themeFillTint="66"/>
            <w:vAlign w:val="center"/>
          </w:tcPr>
          <w:p w:rsidR="00342CCE" w:rsidRPr="00421686" w:rsidRDefault="00342CCE" w:rsidP="00C254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sz w:val="16"/>
                <w:szCs w:val="16"/>
                <w:lang w:eastAsia="es-MX"/>
              </w:rPr>
              <w:t>FORMATO(S) ASIGNADO(S)</w:t>
            </w:r>
          </w:p>
        </w:tc>
      </w:tr>
      <w:tr w:rsidR="0052039F" w:rsidRPr="00E66C62" w:rsidTr="00840B2B">
        <w:trPr>
          <w:cantSplit/>
          <w:trHeight w:val="652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52039F" w:rsidRPr="00421686" w:rsidRDefault="0052039F" w:rsidP="00FC2802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52039F" w:rsidRPr="00421686" w:rsidRDefault="0052039F" w:rsidP="00FC2802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A56F31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Rectoría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E66C62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</w:p>
          <w:p w:rsidR="0052039F" w:rsidRPr="00340EC8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1 LGT_Art_70_Fr_I</w:t>
            </w:r>
          </w:p>
        </w:tc>
      </w:tr>
      <w:tr w:rsidR="0052039F" w:rsidRPr="00E66C62" w:rsidTr="00840B2B">
        <w:trPr>
          <w:cantSplit/>
          <w:trHeight w:val="962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52039F" w:rsidRPr="00421686" w:rsidRDefault="0052039F" w:rsidP="00BF1955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Humanos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2a LGT_Art_70_Fr_II</w:t>
            </w:r>
          </w:p>
          <w:p w:rsidR="0052039F" w:rsidRPr="00340EC8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2b LGT_Art_70_Fr_II</w:t>
            </w:r>
          </w:p>
        </w:tc>
      </w:tr>
      <w:tr w:rsidR="0052039F" w:rsidRPr="00E66C62" w:rsidTr="00840B2B">
        <w:trPr>
          <w:cantSplit/>
          <w:trHeight w:val="471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52039F" w:rsidRPr="00421686" w:rsidRDefault="0052039F" w:rsidP="00BF1955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facultades de cada Área;</w:t>
            </w:r>
          </w:p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Humanos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 LGT_Art_70_Fr_III</w:t>
            </w:r>
          </w:p>
        </w:tc>
      </w:tr>
      <w:tr w:rsidR="0052039F" w:rsidRPr="00E66C62" w:rsidTr="00840B2B">
        <w:trPr>
          <w:cantSplit/>
          <w:trHeight w:val="589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52039F" w:rsidRPr="00421686" w:rsidRDefault="0052039F" w:rsidP="00BF1955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Financieros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4 LGT_Art_70_Fr_IV</w:t>
            </w:r>
          </w:p>
        </w:tc>
      </w:tr>
      <w:tr w:rsidR="0052039F" w:rsidRPr="00E66C62" w:rsidTr="00840B2B">
        <w:trPr>
          <w:cantSplit/>
          <w:trHeight w:val="722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52039F" w:rsidRPr="00421686" w:rsidRDefault="0052039F" w:rsidP="00B00937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V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A56F31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Financieros</w:t>
            </w:r>
            <w:r w:rsidR="0052039F"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 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5 LGT_Art_70_Fr_V</w:t>
            </w:r>
          </w:p>
        </w:tc>
      </w:tr>
      <w:tr w:rsidR="0052039F" w:rsidRPr="00E66C62" w:rsidTr="00840B2B">
        <w:trPr>
          <w:cantSplit/>
          <w:trHeight w:val="498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52039F" w:rsidRPr="00421686" w:rsidRDefault="0052039F" w:rsidP="00B00937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indicadores que permitan rendir cuenta de sus objetivos y resultados;</w:t>
            </w:r>
          </w:p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Financieros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6 LGT_Art_70_Fr_VI</w:t>
            </w:r>
          </w:p>
        </w:tc>
      </w:tr>
      <w:tr w:rsidR="0052039F" w:rsidRPr="00E66C62" w:rsidTr="00840B2B">
        <w:trPr>
          <w:cantSplit/>
          <w:trHeight w:val="275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B00937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Humanos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7 LGT_Art_70_Fr_VII</w:t>
            </w:r>
          </w:p>
        </w:tc>
      </w:tr>
      <w:tr w:rsidR="0052039F" w:rsidRPr="00E66C62" w:rsidTr="00840B2B">
        <w:trPr>
          <w:cantSplit/>
          <w:trHeight w:val="225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B00937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Humanos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8 LGT_Art_70_Fr_VIII</w:t>
            </w:r>
          </w:p>
        </w:tc>
      </w:tr>
      <w:tr w:rsidR="0052039F" w:rsidRPr="00647A3C" w:rsidTr="00840B2B">
        <w:trPr>
          <w:cantSplit/>
          <w:trHeight w:val="44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B00937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gastos de representación y viáticos, así como el objeto e informe de comisión correspondiente;</w:t>
            </w:r>
          </w:p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Vice-Rectoría de Administración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Formato 9 LGT_Art_70_Fr_IX</w:t>
            </w:r>
          </w:p>
          <w:p w:rsidR="0052039F" w:rsidRPr="006246E7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</w:tr>
      <w:tr w:rsidR="0052039F" w:rsidRPr="00E66C62" w:rsidTr="00840B2B">
        <w:trPr>
          <w:cantSplit/>
          <w:trHeight w:val="54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B00937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 w:type="page"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 w:type="page"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Humanos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10a LGT_Art_70_Fr_X</w:t>
            </w:r>
          </w:p>
          <w:p w:rsidR="0052039F" w:rsidRPr="00340EC8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10b LGT_Art_70_Fr_X</w:t>
            </w:r>
          </w:p>
        </w:tc>
      </w:tr>
      <w:tr w:rsidR="0052039F" w:rsidRPr="00E66C62" w:rsidTr="00840B2B">
        <w:trPr>
          <w:cantSplit/>
          <w:trHeight w:val="1288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B00937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Esta fracción es aplicable para los sujetos del Poder Ejecutivo con apego a lo establecido en el Programa Operativo Anual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Humanos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11 LGT_Art_70_Fr_XI</w:t>
            </w:r>
          </w:p>
        </w:tc>
      </w:tr>
      <w:tr w:rsidR="0052039F" w:rsidRPr="00E66C62" w:rsidTr="00840B2B">
        <w:trPr>
          <w:cantSplit/>
          <w:trHeight w:val="123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B00937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340EC8" w:rsidRPr="00340EC8" w:rsidRDefault="00A56F31" w:rsidP="00340EC8">
            <w:pPr>
              <w:pStyle w:val="Default"/>
              <w:jc w:val="both"/>
              <w:rPr>
                <w:rFonts w:ascii="Candara" w:eastAsia="Times New Roman" w:hAnsi="Candara" w:cs="Times New Roman"/>
                <w:iCs/>
                <w:color w:val="auto"/>
                <w:sz w:val="18"/>
                <w:szCs w:val="22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color w:val="auto"/>
                <w:sz w:val="18"/>
                <w:szCs w:val="22"/>
                <w:lang w:eastAsia="es-MX"/>
              </w:rPr>
              <w:t xml:space="preserve">La </w:t>
            </w:r>
            <w:r w:rsidR="00340EC8" w:rsidRPr="00340EC8">
              <w:rPr>
                <w:rFonts w:ascii="Candara" w:eastAsia="Times New Roman" w:hAnsi="Candara" w:cs="Times New Roman"/>
                <w:iCs/>
                <w:color w:val="auto"/>
                <w:sz w:val="18"/>
                <w:szCs w:val="22"/>
                <w:lang w:eastAsia="es-MX"/>
              </w:rPr>
              <w:t xml:space="preserve">responsable de concentrar la información es la Secretaria de Contraloría y Transparencia Gubernamental, por lo que la información puede ser consultada en: http://www.contraloria.oaxaca.gob.mx/ La información publicada por la Universidad </w:t>
            </w:r>
            <w:r w:rsidR="00340EC8">
              <w:rPr>
                <w:rFonts w:ascii="Candara" w:eastAsia="Times New Roman" w:hAnsi="Candara" w:cs="Times New Roman"/>
                <w:iCs/>
                <w:color w:val="auto"/>
                <w:sz w:val="18"/>
                <w:szCs w:val="22"/>
                <w:lang w:eastAsia="es-MX"/>
              </w:rPr>
              <w:t>NovaUniversitas</w:t>
            </w:r>
            <w:r w:rsidR="00340EC8" w:rsidRPr="00340EC8">
              <w:rPr>
                <w:rFonts w:ascii="Candara" w:eastAsia="Times New Roman" w:hAnsi="Candara" w:cs="Times New Roman"/>
                <w:iCs/>
                <w:color w:val="auto"/>
                <w:sz w:val="18"/>
                <w:szCs w:val="22"/>
                <w:lang w:eastAsia="es-MX"/>
              </w:rPr>
              <w:t xml:space="preserve"> corresponde solo a los acuses de las declaraciones. </w:t>
            </w:r>
          </w:p>
          <w:p w:rsidR="0052039F" w:rsidRPr="006246E7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Humanos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12 LGT_Art_70_Fr_XII</w:t>
            </w:r>
          </w:p>
        </w:tc>
      </w:tr>
      <w:tr w:rsidR="0052039F" w:rsidRPr="00E66C62" w:rsidTr="00840B2B">
        <w:trPr>
          <w:cantSplit/>
          <w:trHeight w:val="588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B00937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Unidad Transparencia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13 LGT_Art_70_Fr_XIII</w:t>
            </w:r>
          </w:p>
        </w:tc>
      </w:tr>
      <w:tr w:rsidR="0052039F" w:rsidRPr="00647A3C" w:rsidTr="00840B2B">
        <w:trPr>
          <w:cantSplit/>
          <w:trHeight w:val="648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FC2802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convocatorias a concursos para ocupar cargos públicos y los resultados de los mismos;</w:t>
            </w:r>
          </w:p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340EC8" w:rsidRPr="00340EC8" w:rsidRDefault="00340EC8" w:rsidP="00340EC8">
            <w:pPr>
              <w:pStyle w:val="Default"/>
              <w:jc w:val="both"/>
              <w:rPr>
                <w:rFonts w:ascii="Candara" w:eastAsia="Times New Roman" w:hAnsi="Candara" w:cs="Times New Roman"/>
                <w:iCs/>
                <w:color w:val="auto"/>
                <w:sz w:val="18"/>
                <w:szCs w:val="22"/>
                <w:lang w:eastAsia="es-MX"/>
              </w:rPr>
            </w:pPr>
            <w:r w:rsidRPr="00340EC8">
              <w:rPr>
                <w:rFonts w:ascii="Candara" w:eastAsia="Times New Roman" w:hAnsi="Candara" w:cs="Times New Roman"/>
                <w:iCs/>
                <w:color w:val="auto"/>
                <w:sz w:val="18"/>
                <w:szCs w:val="22"/>
                <w:lang w:eastAsia="es-MX"/>
              </w:rPr>
              <w:t xml:space="preserve">El formato es aplicable para las dependencias y entidades reguladas por la Normatividad en Materia de Recursos Humanos para las Dependencias de la Administración Pública. </w:t>
            </w:r>
          </w:p>
          <w:p w:rsidR="0052039F" w:rsidRPr="006246E7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Vice-Rectoría Académica</w:t>
            </w:r>
            <w:r w:rsidR="00A56F31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/ Departamento de Recursos Humanos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Formato 14 LGT_Art_70_Fr_XIV</w:t>
            </w:r>
          </w:p>
          <w:p w:rsidR="0052039F" w:rsidRPr="006246E7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</w:tr>
      <w:tr w:rsidR="0052039F" w:rsidRPr="00E66C62" w:rsidTr="00840B2B">
        <w:trPr>
          <w:cantSplit/>
          <w:trHeight w:val="1428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FC2802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 w:type="page"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 w:type="page"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="00340EC8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...</w:t>
            </w:r>
          </w:p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101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A56F31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795270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formato </w:t>
            </w:r>
            <w:r w:rsidRPr="00795270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15a LGT_Art_70_Fr_XV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es aplicable a la Secretaría de Desarrollo Social y Humano por la naturaleza de sus facultades y funciones.</w:t>
            </w:r>
            <w:r w:rsidR="00534AC0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Derivado del Decreto de Creación, esta Institución</w:t>
            </w:r>
            <w:r w:rsidR="00E517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Educativa</w:t>
            </w:r>
            <w:r w:rsidR="00FE6BF2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no tiene autorizado dentro de sus facultades el desarrollo de programas, únicamente es ejecutora de los recursos que otorga la federación o el estado, por tanto las evaluaciones o encuestas realizadas a programas sociales financiadas con presupuesto asignado para ofrecer programas dirigidos a la población en términos </w:t>
            </w:r>
            <w:r w:rsidR="00411B4C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de los lineamientos de esta fracción. </w:t>
            </w:r>
            <w:r w:rsidR="00FE6BF2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A56F31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Servicios Escolares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E66C62" w:rsidRDefault="0052039F" w:rsidP="004B0B3E">
            <w:pPr>
              <w:spacing w:after="101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E66C62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E66C62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15b LGT_Art_70_Fr_XV</w:t>
            </w:r>
          </w:p>
        </w:tc>
      </w:tr>
      <w:tr w:rsidR="0052039F" w:rsidRPr="00E66C62" w:rsidTr="00840B2B">
        <w:trPr>
          <w:cantSplit/>
          <w:trHeight w:val="92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FC2802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340EC8" w:rsidRPr="00340EC8" w:rsidRDefault="00340EC8" w:rsidP="00340EC8">
            <w:pPr>
              <w:pStyle w:val="Default"/>
              <w:rPr>
                <w:rFonts w:ascii="Candara" w:eastAsia="Times New Roman" w:hAnsi="Candara" w:cs="Times New Roman"/>
                <w:iCs/>
                <w:color w:val="auto"/>
                <w:sz w:val="18"/>
                <w:szCs w:val="22"/>
                <w:lang w:eastAsia="es-MX"/>
              </w:rPr>
            </w:pPr>
            <w:r w:rsidRPr="00340EC8">
              <w:rPr>
                <w:rFonts w:ascii="Candara" w:eastAsia="Times New Roman" w:hAnsi="Candara" w:cs="Times New Roman"/>
                <w:iCs/>
                <w:color w:val="auto"/>
                <w:sz w:val="18"/>
                <w:szCs w:val="22"/>
                <w:lang w:eastAsia="es-MX"/>
              </w:rPr>
              <w:t xml:space="preserve">Para </w:t>
            </w:r>
            <w:r>
              <w:rPr>
                <w:rFonts w:ascii="Candara" w:eastAsia="Times New Roman" w:hAnsi="Candara" w:cs="Times New Roman"/>
                <w:iCs/>
                <w:color w:val="auto"/>
                <w:sz w:val="18"/>
                <w:szCs w:val="22"/>
                <w:lang w:eastAsia="es-MX"/>
              </w:rPr>
              <w:t>NovaUniversitas</w:t>
            </w:r>
            <w:r w:rsidRPr="00340EC8">
              <w:rPr>
                <w:rFonts w:ascii="Candara" w:eastAsia="Times New Roman" w:hAnsi="Candara" w:cs="Times New Roman"/>
                <w:iCs/>
                <w:color w:val="auto"/>
                <w:sz w:val="18"/>
                <w:szCs w:val="22"/>
                <w:lang w:eastAsia="es-MX"/>
              </w:rPr>
              <w:t xml:space="preserve"> solo nos aplica el Formato 16a, ya que el formato 16b se refiere a recursos </w:t>
            </w:r>
            <w:r w:rsidR="00411B4C">
              <w:rPr>
                <w:rFonts w:ascii="Candara" w:eastAsia="Times New Roman" w:hAnsi="Candara" w:cs="Times New Roman"/>
                <w:iCs/>
                <w:color w:val="auto"/>
                <w:sz w:val="18"/>
                <w:szCs w:val="22"/>
                <w:lang w:eastAsia="es-MX"/>
              </w:rPr>
              <w:t>entregados a los sindicatos, y NovaUniversitas</w:t>
            </w:r>
            <w:r w:rsidRPr="00340EC8">
              <w:rPr>
                <w:rFonts w:ascii="Candara" w:eastAsia="Times New Roman" w:hAnsi="Candara" w:cs="Times New Roman"/>
                <w:iCs/>
                <w:color w:val="auto"/>
                <w:sz w:val="18"/>
                <w:szCs w:val="22"/>
                <w:lang w:eastAsia="es-MX"/>
              </w:rPr>
              <w:t xml:space="preserve"> no c</w:t>
            </w:r>
            <w:r w:rsidR="00411B4C">
              <w:rPr>
                <w:rFonts w:ascii="Candara" w:eastAsia="Times New Roman" w:hAnsi="Candara" w:cs="Times New Roman"/>
                <w:iCs/>
                <w:color w:val="auto"/>
                <w:sz w:val="18"/>
                <w:szCs w:val="22"/>
                <w:lang w:eastAsia="es-MX"/>
              </w:rPr>
              <w:t>uenta con Sindicatos.</w:t>
            </w:r>
          </w:p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Humanos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411B4C" w:rsidRPr="00A30F35" w:rsidRDefault="00411B4C" w:rsidP="00411B4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16a LGT_Art_70_Fr_XVI</w:t>
            </w:r>
          </w:p>
          <w:p w:rsidR="0052039F" w:rsidRPr="00340EC8" w:rsidRDefault="00411B4C" w:rsidP="00411B4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16b LGT_Art_70_Fr_XVI</w:t>
            </w:r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</w:t>
            </w:r>
          </w:p>
        </w:tc>
      </w:tr>
      <w:tr w:rsidR="0052039F" w:rsidRPr="00E66C62" w:rsidTr="00840B2B">
        <w:trPr>
          <w:cantSplit/>
          <w:trHeight w:val="1043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FC2802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 w:type="page"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 w:type="page"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XVII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Humanos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4B0B3E">
            <w:pPr>
              <w:pStyle w:val="Sinespaciad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17 LGT_Art_70_Fr_XVII</w:t>
            </w:r>
          </w:p>
        </w:tc>
      </w:tr>
      <w:tr w:rsidR="0052039F" w:rsidRPr="00E66C62" w:rsidTr="00840B2B">
        <w:trPr>
          <w:cantSplit/>
          <w:trHeight w:val="2076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FC2802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Servidores Públicos con sanciones administrativas definitivas, especificando la ca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usa de sanción y la disposición.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411B4C">
            <w:pPr>
              <w:pStyle w:val="Default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Humanos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18 LGT_Art_70_Fr_XVIII</w:t>
            </w:r>
          </w:p>
        </w:tc>
      </w:tr>
      <w:tr w:rsidR="0052039F" w:rsidRPr="00E66C62" w:rsidTr="00840B2B">
        <w:trPr>
          <w:cantSplit/>
          <w:trHeight w:val="38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FC2802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Servicios Escolares, Jefatura de Biblioteca, Unidad de transparencia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19 LGT_Art_70_Fr_XIX</w:t>
            </w:r>
          </w:p>
        </w:tc>
      </w:tr>
      <w:tr w:rsidR="0052039F" w:rsidRPr="00E66C62" w:rsidTr="00840B2B">
        <w:trPr>
          <w:cantSplit/>
          <w:trHeight w:val="618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FC2802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trámites, requisitos y formatos que ofrecen;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Servicios Escolares, Jefatura de Biblioteca, Unidad de transparencia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20 LGT_Art_70_Fr_XX</w:t>
            </w:r>
          </w:p>
        </w:tc>
      </w:tr>
      <w:tr w:rsidR="0052039F" w:rsidRPr="00E66C62" w:rsidTr="00840B2B">
        <w:trPr>
          <w:cantSplit/>
          <w:trHeight w:val="77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FC2802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  <w:p w:rsidR="0052039F" w:rsidRPr="0085175D" w:rsidRDefault="0052039F" w:rsidP="004B0B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Financieros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21a LGT_Art_70_Fr_XXI</w:t>
            </w:r>
          </w:p>
          <w:p w:rsidR="0052039F" w:rsidRPr="00340EC8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21b LGT_Art_70_Fr_XXI</w:t>
            </w:r>
          </w:p>
          <w:p w:rsidR="0052039F" w:rsidRPr="00340EC8" w:rsidRDefault="0052039F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21c LGT_Art_70_Fr_XXI</w:t>
            </w:r>
          </w:p>
        </w:tc>
      </w:tr>
      <w:tr w:rsidR="0052039F" w:rsidRPr="00421686" w:rsidTr="00840B2B">
        <w:trPr>
          <w:cantSplit/>
          <w:trHeight w:val="853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FC2802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FC2802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XXII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52039F" w:rsidRPr="006246E7" w:rsidRDefault="0052039F" w:rsidP="00FC28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NO APLICA</w:t>
            </w:r>
          </w:p>
        </w:tc>
        <w:tc>
          <w:tcPr>
            <w:tcW w:w="3493" w:type="dxa"/>
            <w:shd w:val="clear" w:color="auto" w:fill="auto"/>
            <w:noWrap/>
            <w:vAlign w:val="center"/>
          </w:tcPr>
          <w:p w:rsidR="0052039F" w:rsidRPr="006246E7" w:rsidRDefault="00411B4C" w:rsidP="00FC2802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/>
                <w:sz w:val="18"/>
                <w:szCs w:val="18"/>
                <w:lang w:eastAsia="es-MX"/>
              </w:rPr>
              <w:t xml:space="preserve">Solo aplica a la </w:t>
            </w:r>
            <w:r w:rsidRPr="00FC2CB4">
              <w:rPr>
                <w:rFonts w:ascii="Candara" w:eastAsia="Times New Roman" w:hAnsi="Candara"/>
                <w:sz w:val="18"/>
                <w:szCs w:val="18"/>
                <w:lang w:eastAsia="es-MX"/>
              </w:rPr>
              <w:t>Secretaría de Finanzas del Gobierno del Estado de Oaxaca previa autorización del Honorable Congreso.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FC2802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6246E7" w:rsidRDefault="0052039F" w:rsidP="00662A83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</w:tr>
      <w:tr w:rsidR="0052039F" w:rsidRPr="00E66C62" w:rsidTr="00840B2B">
        <w:trPr>
          <w:cantSplit/>
          <w:trHeight w:val="11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XXIII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52039F" w:rsidRPr="006246E7" w:rsidRDefault="0052039F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411B4C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El formato 23c LGT_Art_70_Fr_XXIII  corresponde a la Coordinación de Comunicación Social y Vocería del Gobierno del Estado de conformidad con sus facultades establecidas  en la Ley Orgánica del Poder Ejecutivo; así como al Instituto Estatal Electoral y de Participación Ciudadana del Estado de Oaxaca.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66C62" w:rsidRDefault="00E66C62" w:rsidP="00E66C62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Materiales/</w:t>
            </w: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 Departamento de Recursos </w:t>
            </w: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Financieros</w:t>
            </w:r>
          </w:p>
          <w:p w:rsidR="00E66C62" w:rsidRPr="006246E7" w:rsidRDefault="00E66C62" w:rsidP="0099169F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E66C62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  <w:p w:rsidR="0052039F" w:rsidRPr="00340EC8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23b LGT_Art_70_Fr_XXIII</w:t>
            </w:r>
          </w:p>
          <w:p w:rsidR="0052039F" w:rsidRPr="00340EC8" w:rsidRDefault="0052039F" w:rsidP="007B271D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</w:p>
        </w:tc>
      </w:tr>
      <w:tr w:rsidR="0052039F" w:rsidRPr="00E66C62" w:rsidTr="00840B2B">
        <w:trPr>
          <w:cantSplit/>
          <w:trHeight w:val="67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FC2802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FC2802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XXIV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52039F" w:rsidRPr="006246E7" w:rsidRDefault="0052039F" w:rsidP="00FC28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FC2802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7B5184" w:rsidP="00FC2802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Vice-Rectoría de Administración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662A83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24 LGT_Art_70_Fr_XXIV</w:t>
            </w:r>
          </w:p>
        </w:tc>
      </w:tr>
      <w:tr w:rsidR="0052039F" w:rsidRPr="00421686" w:rsidTr="00840B2B">
        <w:trPr>
          <w:cantSplit/>
          <w:trHeight w:val="2871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FC2802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FC2802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XXV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 xml:space="preserve">El resultado de la </w:t>
            </w:r>
            <w:proofErr w:type="spellStart"/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dictaminación</w:t>
            </w:r>
            <w:proofErr w:type="spellEnd"/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 xml:space="preserve"> de los estados financieros;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52039F" w:rsidRPr="006246E7" w:rsidRDefault="0052039F" w:rsidP="00FC28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NO 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7D5630" w:rsidP="00342CC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La finalidad de la </w:t>
            </w:r>
            <w:proofErr w:type="spellStart"/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dictaminación</w:t>
            </w:r>
            <w:proofErr w:type="spellEnd"/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 de Estados Financieros es la determinación de diferencias de impuestos a pagar, como lo indica el párrafo cuarto del articulo 32 a del Código Fiscal de la Federación y siendo la NovaUniversitas un organismo público descentralizado del gobierno estatal cuya finalidad es impartir Educación Superior sin fines de lucro; no está obligado a la </w:t>
            </w:r>
            <w:proofErr w:type="spellStart"/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dictaminación</w:t>
            </w:r>
            <w:proofErr w:type="spellEnd"/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 de sus estados financieros ya que la </w:t>
            </w:r>
            <w:proofErr w:type="spellStart"/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dictaminación</w:t>
            </w:r>
            <w:proofErr w:type="spellEnd"/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 es optativa.</w:t>
            </w:r>
          </w:p>
          <w:p w:rsidR="0052039F" w:rsidRPr="006246E7" w:rsidRDefault="007D5630" w:rsidP="007D563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Artículo 4 del Decreto de Creación de la Universidad y Artículo 32-a del Código Fiscal de la Federación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FC2802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6246E7" w:rsidRDefault="0052039F" w:rsidP="00662A83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</w:tr>
      <w:tr w:rsidR="0052039F" w:rsidRPr="00421686" w:rsidTr="00840B2B">
        <w:trPr>
          <w:cantSplit/>
          <w:trHeight w:val="936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7942D8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7942D8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XXVI </w:t>
            </w:r>
            <w:r w:rsidRPr="007942D8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52039F" w:rsidRPr="006246E7" w:rsidRDefault="0052039F" w:rsidP="003F076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NO 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99169F" w:rsidRPr="0099169F" w:rsidRDefault="0099169F" w:rsidP="0099169F">
            <w:pPr>
              <w:pStyle w:val="Default"/>
              <w:jc w:val="both"/>
              <w:rPr>
                <w:rFonts w:ascii="Candara" w:eastAsia="Times New Roman" w:hAnsi="Candara" w:cs="Times New Roman"/>
                <w:iCs/>
                <w:color w:val="auto"/>
                <w:sz w:val="18"/>
                <w:szCs w:val="22"/>
                <w:lang w:eastAsia="es-MX"/>
              </w:rPr>
            </w:pPr>
            <w:r w:rsidRPr="0099169F">
              <w:rPr>
                <w:rFonts w:ascii="Candara" w:eastAsia="Times New Roman" w:hAnsi="Candara" w:cs="Times New Roman"/>
                <w:iCs/>
                <w:color w:val="auto"/>
                <w:sz w:val="18"/>
                <w:szCs w:val="22"/>
                <w:lang w:eastAsia="es-MX"/>
              </w:rPr>
              <w:t xml:space="preserve">El llenado del formato corresponde a los sujetos obligados que permiten el uso de recursos a personas físicas y morales, (sindicatos, organizaciones civiles etc.) </w:t>
            </w:r>
          </w:p>
          <w:p w:rsidR="0052039F" w:rsidRPr="006246E7" w:rsidRDefault="0052039F" w:rsidP="00342CC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6246E7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</w:tr>
      <w:tr w:rsidR="0052039F" w:rsidRPr="00E66C62" w:rsidTr="00840B2B">
        <w:trPr>
          <w:cantSplit/>
          <w:trHeight w:val="1293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XXVII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52039F" w:rsidRPr="006246E7" w:rsidRDefault="0052039F" w:rsidP="003F076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E6101E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Departamento de Recursos </w:t>
            </w:r>
            <w:proofErr w:type="spellStart"/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FInancieros</w:t>
            </w:r>
            <w:proofErr w:type="spellEnd"/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27 LGT_Art_70_Fr_XXVII</w:t>
            </w:r>
          </w:p>
        </w:tc>
      </w:tr>
      <w:tr w:rsidR="0052039F" w:rsidRPr="00E66C62" w:rsidTr="00840B2B">
        <w:trPr>
          <w:cantSplit/>
          <w:trHeight w:val="1043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XXVIII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52039F" w:rsidRPr="006246E7" w:rsidRDefault="0052039F" w:rsidP="003F076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7D5630" w:rsidP="007D563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Departamento de Recursos Materiales </w:t>
            </w:r>
            <w:r w:rsidR="0052039F"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 </w:t>
            </w: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(Comité de Obras Y Comité de Adquisiciones)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28A LGT_Art_70_Fr_XXVIII</w:t>
            </w:r>
          </w:p>
          <w:p w:rsidR="0052039F" w:rsidRPr="00340EC8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</w:p>
          <w:p w:rsidR="0052039F" w:rsidRPr="00340EC8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28B LGT_Art_70_Fr_XXVIII</w:t>
            </w:r>
          </w:p>
        </w:tc>
      </w:tr>
      <w:tr w:rsidR="0052039F" w:rsidRPr="00E66C62" w:rsidTr="00840B2B">
        <w:trPr>
          <w:cantSplit/>
          <w:trHeight w:val="913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XXIX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52039F" w:rsidRPr="006246E7" w:rsidRDefault="0052039F" w:rsidP="003F076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  <w:p w:rsidR="0052039F" w:rsidRPr="006246E7" w:rsidRDefault="0052039F" w:rsidP="003F076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  <w:p w:rsidR="0052039F" w:rsidRPr="006246E7" w:rsidRDefault="0052039F" w:rsidP="003F076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  <w:p w:rsidR="0052039F" w:rsidRPr="006246E7" w:rsidRDefault="0052039F" w:rsidP="003F076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351C54" w:rsidP="00351C54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Unidad de Transparencia ( todas las áreas y departamentos) 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29 LGT_Art_70_Fr_XXIX</w:t>
            </w:r>
          </w:p>
        </w:tc>
      </w:tr>
      <w:tr w:rsidR="0052039F" w:rsidRPr="00E66C62" w:rsidTr="00840B2B">
        <w:trPr>
          <w:cantSplit/>
          <w:trHeight w:val="78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52039F" w:rsidRPr="006246E7" w:rsidRDefault="0052039F" w:rsidP="003F076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351C54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Vice-Rectoría Académica</w:t>
            </w:r>
            <w:r w:rsidR="0099169F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, biblioteca</w:t>
            </w: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 y Servicios Escolares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30 LGT_Art_70_Fr_XXX</w:t>
            </w:r>
          </w:p>
        </w:tc>
      </w:tr>
      <w:tr w:rsidR="0052039F" w:rsidRPr="00E66C62" w:rsidTr="00840B2B">
        <w:trPr>
          <w:cantSplit/>
          <w:trHeight w:val="6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52039F" w:rsidRPr="006246E7" w:rsidRDefault="0052039F" w:rsidP="003F076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  <w:p w:rsidR="0052039F" w:rsidRPr="006246E7" w:rsidRDefault="0052039F" w:rsidP="003F076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  <w:p w:rsidR="0052039F" w:rsidRPr="006246E7" w:rsidRDefault="0052039F" w:rsidP="003F076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351C54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Financieros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31A LGT_Art_70_Fr_XXXI</w:t>
            </w:r>
          </w:p>
          <w:p w:rsidR="0052039F" w:rsidRPr="00340EC8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</w:p>
          <w:p w:rsidR="0052039F" w:rsidRPr="00340EC8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31B LGT_Art_70_Fr_XXXI</w:t>
            </w:r>
          </w:p>
        </w:tc>
      </w:tr>
      <w:tr w:rsidR="0052039F" w:rsidRPr="00E66C62" w:rsidTr="00840B2B">
        <w:trPr>
          <w:cantSplit/>
          <w:trHeight w:val="647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XXXII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Padrón de proveedores y contratistas;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52039F" w:rsidRPr="006246E7" w:rsidRDefault="0052039F" w:rsidP="003F076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  <w:p w:rsidR="0052039F" w:rsidRPr="006246E7" w:rsidRDefault="0052039F" w:rsidP="003F076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  <w:p w:rsidR="0052039F" w:rsidRPr="006246E7" w:rsidRDefault="0052039F" w:rsidP="003F076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05566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Materiales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32 LGT_Art_70_Fr_XXXII</w:t>
            </w:r>
          </w:p>
        </w:tc>
      </w:tr>
      <w:tr w:rsidR="0052039F" w:rsidRPr="00E66C62" w:rsidTr="00840B2B">
        <w:trPr>
          <w:cantSplit/>
          <w:trHeight w:val="1948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XXXIII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3F076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99169F" w:rsidP="0099169F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Rectoría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33 LGT_Art_70_Fr_XXXIII</w:t>
            </w:r>
          </w:p>
        </w:tc>
      </w:tr>
      <w:tr w:rsidR="0052039F" w:rsidRPr="00E66C62" w:rsidTr="00840B2B">
        <w:trPr>
          <w:cantSplit/>
          <w:trHeight w:val="732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XXXIV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El inventario de bienes muebles e inmuebles en posesión y propiedad;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3F076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E6101E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llenado de los formatos 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34e, 34f y 34g, corresponde a la Secretarí</w:t>
            </w:r>
            <w:r w:rsidRPr="00D05EDE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a de 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Administración del Gobierno del Estado en términos del artículo 46 de la Ley Orgánica del Poder Ejecutivo.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192F64" w:rsidP="00192F64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Materiales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34A LGT_Art_70_Fr_XXXIV</w:t>
            </w:r>
          </w:p>
          <w:p w:rsidR="0052039F" w:rsidRPr="00340EC8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34B LGT_Art_70_Fr_XXXIV</w:t>
            </w:r>
          </w:p>
          <w:p w:rsidR="0052039F" w:rsidRPr="00340EC8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34C LGT_Art_70_Fr_XXXIV</w:t>
            </w:r>
          </w:p>
          <w:p w:rsidR="0052039F" w:rsidRPr="00340EC8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34D LGT_Art_70_Fr_XXXIV</w:t>
            </w:r>
          </w:p>
        </w:tc>
      </w:tr>
      <w:tr w:rsidR="0052039F" w:rsidRPr="00E66C62" w:rsidTr="00840B2B">
        <w:trPr>
          <w:cantSplit/>
          <w:trHeight w:val="123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3F076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XXXV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3F076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E6101E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El </w:t>
            </w:r>
            <w:r w:rsidRPr="000B2E00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llenado del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B2E00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35c LGT_Art_70_Fr_XXXV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B2E00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corresponde a la Coordinación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B2E00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para la Atención de los Derechos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B2E00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Humanos del Poder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B2E00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Ejecutivo.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192F64" w:rsidP="00192F64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Rectoría, Vice-Rectoría Académica Y Vice-Rectoría de Administración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35A LGT_Art_70_Fr_XXXV</w:t>
            </w:r>
          </w:p>
          <w:p w:rsidR="0052039F" w:rsidRPr="00340EC8" w:rsidRDefault="0052039F" w:rsidP="003F0760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35B LGT_Art_70_Fr_XXXV</w:t>
            </w:r>
          </w:p>
        </w:tc>
      </w:tr>
      <w:tr w:rsidR="0052039F" w:rsidRPr="00E66C62" w:rsidTr="00840B2B">
        <w:trPr>
          <w:cantSplit/>
          <w:trHeight w:val="297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XXXVI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CC0706" w:rsidP="00192F6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D64E17">
              <w:rPr>
                <w:rFonts w:ascii="Candara" w:eastAsia="Times New Roman" w:hAnsi="Candara" w:cs="Times New Roman"/>
                <w:sz w:val="18"/>
                <w:lang w:eastAsia="es-MX"/>
              </w:rPr>
              <w:t>El formato es aplicable para los sujetos obligados que emiten resoluciones en materia administrativa.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(Acuerdo del Consejo Académico en Versión Publica)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192F64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Vice -Rectoría De Administración/Departamento Jurídico 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36 LGT_Art_70_Fr_XXXVI</w:t>
            </w:r>
          </w:p>
        </w:tc>
      </w:tr>
      <w:tr w:rsidR="0052039F" w:rsidRPr="00E66C62" w:rsidTr="00192F64">
        <w:trPr>
          <w:cantSplit/>
          <w:trHeight w:val="1312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highlight w:val="yellow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XXXVII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Los mecanismos de participación ciudadana;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192F64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192F64" w:rsidP="00022837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vice-rectoría académica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37A LGT_Art_70_Fr_XXXVII</w:t>
            </w:r>
          </w:p>
          <w:p w:rsidR="0052039F" w:rsidRPr="00340EC8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</w:p>
          <w:p w:rsidR="0052039F" w:rsidRPr="00340EC8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37B LGT_Art_70_Fr_XXXVII</w:t>
            </w:r>
          </w:p>
        </w:tc>
      </w:tr>
      <w:tr w:rsidR="0052039F" w:rsidRPr="00E66C62" w:rsidTr="00840B2B">
        <w:trPr>
          <w:cantSplit/>
          <w:trHeight w:val="1032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9C2C0D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9C2C0D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9C2C0D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9C2C0D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9C2C0D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9C2C0D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XXXVIII </w:t>
            </w:r>
            <w:r w:rsidRPr="009C2C0D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CC0706">
            <w:pPr>
              <w:pStyle w:val="Default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CC0706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Servicios Escolares y Biblioteca.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C0706" w:rsidRDefault="00CC0706" w:rsidP="00CC0706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38a LGT_Art_70_Fr_XXXVII</w:t>
            </w:r>
          </w:p>
          <w:p w:rsidR="0052039F" w:rsidRPr="00CC0706" w:rsidRDefault="00CC0706" w:rsidP="00CC0706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38b LGT_Art_70_Fr_XXXVII</w:t>
            </w:r>
          </w:p>
        </w:tc>
      </w:tr>
      <w:tr w:rsidR="0052039F" w:rsidRPr="00E66C62" w:rsidTr="00840B2B">
        <w:trPr>
          <w:cantSplit/>
          <w:trHeight w:val="1047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XXXIX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097202" w:rsidP="00CC0706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Secretario Técnico del Comité de Tran</w:t>
            </w:r>
            <w:r w:rsidR="00CC0706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sparencia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39A LGT_Art_70_Fr_XXXIX</w:t>
            </w:r>
          </w:p>
          <w:p w:rsidR="0052039F" w:rsidRPr="00340EC8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39B LGT_Art_70_Fr_XXXIX</w:t>
            </w:r>
          </w:p>
          <w:p w:rsidR="0052039F" w:rsidRPr="00340EC8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39C LGT_Art_70_Fr_XXXIX</w:t>
            </w:r>
          </w:p>
          <w:p w:rsidR="0052039F" w:rsidRPr="00340EC8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39D LGT_Art_70_Fr_XXXIX</w:t>
            </w:r>
          </w:p>
        </w:tc>
      </w:tr>
      <w:tr w:rsidR="0052039F" w:rsidRPr="00E66C62" w:rsidTr="00840B2B">
        <w:trPr>
          <w:cantSplit/>
          <w:trHeight w:val="665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282B8D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282B8D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 </w:t>
            </w:r>
            <w:r w:rsidRPr="00282B8D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4B0B3E" w:rsidP="00282B8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D64E17">
              <w:rPr>
                <w:rFonts w:ascii="Candara" w:eastAsia="Times New Roman" w:hAnsi="Candara" w:cs="Times New Roman"/>
                <w:sz w:val="18"/>
                <w:lang w:eastAsia="es-MX"/>
              </w:rPr>
              <w:t>Los formatos son aplicables a los sujetos q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ue generan evaluaciones y encues</w:t>
            </w:r>
            <w:r w:rsidRPr="00D64E17">
              <w:rPr>
                <w:rFonts w:ascii="Candara" w:eastAsia="Times New Roman" w:hAnsi="Candara" w:cs="Times New Roman"/>
                <w:sz w:val="18"/>
                <w:lang w:eastAsia="es-MX"/>
              </w:rPr>
              <w:t>tas en términos del artículo 79 de la Ley General de Contabilidad Gubernamental.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4B0B3E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Vice-Rectoría </w:t>
            </w:r>
            <w:proofErr w:type="spellStart"/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Academica</w:t>
            </w:r>
            <w:proofErr w:type="spellEnd"/>
          </w:p>
        </w:tc>
        <w:tc>
          <w:tcPr>
            <w:tcW w:w="2321" w:type="dxa"/>
            <w:shd w:val="clear" w:color="auto" w:fill="auto"/>
            <w:vAlign w:val="center"/>
          </w:tcPr>
          <w:p w:rsidR="004B0B3E" w:rsidRPr="004B0B3E" w:rsidRDefault="004B0B3E" w:rsidP="004B0B3E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4B0B3E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4B0B3E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40a LGT_Art_70_Fr_XL</w:t>
            </w:r>
          </w:p>
          <w:p w:rsidR="0052039F" w:rsidRPr="004B0B3E" w:rsidRDefault="004B0B3E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4B0B3E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4B0B3E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40b LGT_Art_70_Fr_XL</w:t>
            </w:r>
          </w:p>
        </w:tc>
      </w:tr>
      <w:tr w:rsidR="0052039F" w:rsidRPr="00E66C62" w:rsidTr="00840B2B">
        <w:trPr>
          <w:cantSplit/>
          <w:trHeight w:val="883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282B8D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282B8D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XLI </w:t>
            </w:r>
            <w:r w:rsidRPr="00282B8D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Los estudios financiados con recursos públicos;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7942D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4B0B3E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Vice-Rectoría </w:t>
            </w:r>
            <w:proofErr w:type="spellStart"/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Academica</w:t>
            </w:r>
            <w:proofErr w:type="spellEnd"/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4B0B3E" w:rsidRDefault="004B0B3E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41 LGT_Art_70_Fr_XLI</w:t>
            </w:r>
          </w:p>
        </w:tc>
      </w:tr>
      <w:tr w:rsidR="0052039F" w:rsidRPr="00E66C62" w:rsidTr="00840B2B">
        <w:trPr>
          <w:cantSplit/>
          <w:trHeight w:val="65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XLII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El listado de jubilados y pensionados y el monto que reciben;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  <w:p w:rsidR="0052039F" w:rsidRPr="006246E7" w:rsidRDefault="0052039F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  <w:p w:rsidR="0052039F" w:rsidRPr="006246E7" w:rsidRDefault="0052039F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4B0B3E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El </w:t>
            </w:r>
            <w:r w:rsidRPr="00B72A9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42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Pr="00B72A9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LGT_Art_70_Fr_XLII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es facultad de las instituciones de seguridad social o que pagan jubilaciones o pensiones en forma directa a sus trabajadores. 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097202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Recursos Humanos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42A LGT_Art_70_Fr_XLII</w:t>
            </w:r>
          </w:p>
        </w:tc>
      </w:tr>
      <w:tr w:rsidR="0052039F" w:rsidRPr="00E66C62" w:rsidTr="00840B2B">
        <w:trPr>
          <w:cantSplit/>
          <w:trHeight w:val="681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XLIII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4B0B3E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Aplica a todos</w:t>
            </w:r>
            <w:r w:rsidRPr="00D64E1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los sujetos obligados que reciben ingresos en términos de la Ley Estatal de Derechos.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097202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Vice-Rectoría de Administración/ Departamento de Recursos Financieros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43A LGT_Art_70_Fr_XLIII</w:t>
            </w:r>
          </w:p>
          <w:p w:rsidR="0052039F" w:rsidRPr="00340EC8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</w:p>
          <w:p w:rsidR="0052039F" w:rsidRPr="00340EC8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43B LGT_Art_70_Fr_XLIII</w:t>
            </w:r>
          </w:p>
        </w:tc>
      </w:tr>
      <w:tr w:rsidR="0052039F" w:rsidRPr="00E66C62" w:rsidTr="00840B2B">
        <w:trPr>
          <w:cantSplit/>
          <w:trHeight w:val="641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5151AE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5151AE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XLIV </w:t>
            </w:r>
            <w:r w:rsidRPr="005151AE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Donaciones hechas a terceros en dinero o en especie;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4B0B3E">
            <w:pPr>
              <w:pStyle w:val="Default"/>
              <w:rPr>
                <w:rFonts w:ascii="Candara" w:eastAsia="Times New Roman" w:hAnsi="Candara" w:cs="Times New Roman"/>
                <w:iCs/>
                <w:sz w:val="18"/>
                <w:szCs w:val="22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E66C62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Departamento de Recursos Materiales 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4B0B3E" w:rsidRPr="00A30F35" w:rsidRDefault="004B0B3E" w:rsidP="004B0B3E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44a LGT_Art_70_Fr_XLIV</w:t>
            </w:r>
          </w:p>
          <w:p w:rsidR="0052039F" w:rsidRDefault="004B0B3E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A30F35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30F35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44b LGT_Art_70_Fr_XLIV</w:t>
            </w:r>
          </w:p>
          <w:p w:rsidR="004B0B3E" w:rsidRPr="00340EC8" w:rsidRDefault="004B0B3E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</w:p>
        </w:tc>
      </w:tr>
      <w:tr w:rsidR="0052039F" w:rsidRPr="00E66C62" w:rsidTr="00840B2B">
        <w:trPr>
          <w:cantSplit/>
          <w:trHeight w:val="446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XLV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El catálogo de disposición y guía de archivo documental;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  <w:p w:rsidR="0052039F" w:rsidRPr="006246E7" w:rsidRDefault="0052039F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  <w:p w:rsidR="0052039F" w:rsidRPr="006246E7" w:rsidRDefault="0052039F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  <w:p w:rsidR="0052039F" w:rsidRPr="006246E7" w:rsidRDefault="0052039F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  <w:p w:rsidR="0052039F" w:rsidRPr="006246E7" w:rsidRDefault="0052039F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675C2C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Archivo de Concentración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45 LGT_Art_70_Fr_XLV</w:t>
            </w:r>
          </w:p>
        </w:tc>
      </w:tr>
      <w:tr w:rsidR="0052039F" w:rsidRPr="00A56F31" w:rsidTr="00840B2B">
        <w:trPr>
          <w:cantSplit/>
          <w:trHeight w:val="651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XLVI </w:t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4B0B3E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NO </w:t>
            </w:r>
            <w:r w:rsidR="0052039F"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4B0B3E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 Acuerdo al Artículo 25 Inciso C Fracción VI de la Constitución</w:t>
            </w:r>
            <w:r w:rsidRPr="004B0B3E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 Política Del Estado Libre Y Soberano De Oaxaca</w:t>
            </w: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 no aplica para NovaUniversitas. 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E66C62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</w:tr>
      <w:tr w:rsidR="0052039F" w:rsidRPr="00E66C62" w:rsidTr="00840B2B">
        <w:trPr>
          <w:cantSplit/>
          <w:trHeight w:val="38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Arial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XLVII </w:t>
            </w:r>
            <w:r w:rsidRPr="00421686">
              <w:rPr>
                <w:rFonts w:ascii="Calibri Light" w:eastAsia="Times New Roman" w:hAnsi="Calibri Light" w:cs="Arial"/>
                <w:i/>
                <w:iCs/>
                <w:sz w:val="16"/>
                <w:szCs w:val="16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4B0B3E" w:rsidRDefault="004B0B3E" w:rsidP="007942D8">
            <w:pPr>
              <w:pStyle w:val="Textoindependiente"/>
              <w:ind w:left="0" w:right="119"/>
              <w:rPr>
                <w:rFonts w:ascii="Candara" w:eastAsia="Times New Roman" w:hAnsi="Candara" w:cs="Times New Roman"/>
                <w:iCs/>
                <w:sz w:val="18"/>
                <w:szCs w:val="22"/>
                <w:lang w:val="es-MX" w:eastAsia="es-MX"/>
              </w:rPr>
            </w:pPr>
            <w:r w:rsidRPr="004B0B3E">
              <w:rPr>
                <w:rFonts w:ascii="Candara" w:eastAsia="Times New Roman" w:hAnsi="Candara" w:cstheme="minorHAnsi"/>
                <w:sz w:val="18"/>
                <w:lang w:val="es-MX" w:eastAsia="es-MX"/>
              </w:rPr>
              <w:t>A la Fiscalía General del Estado de Oaxaca, Poder Judicial del Estado y Secretaría de Seguridad Pública en términos de</w:t>
            </w:r>
            <w:r>
              <w:rPr>
                <w:rFonts w:ascii="Candara" w:eastAsia="Times New Roman" w:hAnsi="Candara" w:cstheme="minorHAnsi"/>
                <w:sz w:val="18"/>
                <w:lang w:val="es-MX" w:eastAsia="es-MX"/>
              </w:rPr>
              <w:t xml:space="preserve"> </w:t>
            </w:r>
            <w:r w:rsidRPr="004B0B3E">
              <w:rPr>
                <w:rFonts w:ascii="Candara" w:eastAsia="Times New Roman" w:hAnsi="Candara" w:cstheme="minorHAnsi"/>
                <w:sz w:val="18"/>
                <w:lang w:val="es-MX" w:eastAsia="es-MX"/>
              </w:rPr>
              <w:t>los arts. 291, 294, 297, 300 y 303 del Código Nacional de Procedimientos  Penales en relación con el 190 de la Ley Federal de Telecomunicaciones y Radiodifusión, les compete el llenado de los formatos 47a LGT_Art_70_Fr_XLVII y 47b LGT_Art_70_Fr_XLVII</w:t>
            </w:r>
          </w:p>
          <w:p w:rsidR="0052039F" w:rsidRPr="006246E7" w:rsidRDefault="0052039F" w:rsidP="007942D8">
            <w:pPr>
              <w:pStyle w:val="Textoindependiente"/>
              <w:ind w:left="0" w:right="119"/>
              <w:rPr>
                <w:rFonts w:ascii="Candara" w:eastAsia="Times New Roman" w:hAnsi="Candara" w:cs="Times New Roman"/>
                <w:iCs/>
                <w:sz w:val="18"/>
                <w:szCs w:val="22"/>
                <w:lang w:val="es-MX"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4255C1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Unidad de Transparencia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4255C1" w:rsidRDefault="004255C1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r>
              <w:rPr>
                <w:rFonts w:ascii="Candara" w:eastAsia="Times New Roman" w:hAnsi="Candara" w:cstheme="minorHAnsi"/>
                <w:sz w:val="18"/>
                <w:lang w:val="en-US" w:eastAsia="es-MX"/>
              </w:rPr>
              <w:t>47c</w:t>
            </w:r>
            <w:r w:rsidRPr="009F29D0">
              <w:rPr>
                <w:rFonts w:ascii="Candara" w:eastAsia="Times New Roman" w:hAnsi="Candara" w:cstheme="minorHAnsi"/>
                <w:sz w:val="18"/>
                <w:lang w:val="en-US" w:eastAsia="es-MX"/>
              </w:rPr>
              <w:t xml:space="preserve"> LGT_Art_70_Fr_XLVII</w:t>
            </w:r>
          </w:p>
        </w:tc>
      </w:tr>
      <w:tr w:rsidR="0052039F" w:rsidRPr="00E66C62" w:rsidTr="00840B2B">
        <w:trPr>
          <w:cantSplit/>
          <w:trHeight w:val="38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039F" w:rsidRPr="00421686" w:rsidRDefault="0052039F" w:rsidP="007942D8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iCs/>
                <w:sz w:val="16"/>
                <w:szCs w:val="16"/>
                <w:lang w:eastAsia="es-MX"/>
              </w:rPr>
            </w:pPr>
            <w:r w:rsidRPr="00CE368E">
              <w:rPr>
                <w:rFonts w:ascii="Calibri Light" w:eastAsia="Times New Roman" w:hAnsi="Calibri Light" w:cs="Arial"/>
                <w:b/>
                <w:i/>
                <w:iCs/>
                <w:sz w:val="16"/>
                <w:szCs w:val="16"/>
                <w:lang w:eastAsia="es-MX"/>
              </w:rPr>
              <w:t>Fracción XLVIII</w:t>
            </w:r>
            <w:r w:rsidRPr="00421686">
              <w:rPr>
                <w:rFonts w:ascii="Calibri Light" w:eastAsia="Times New Roman" w:hAnsi="Calibri Light" w:cs="Arial"/>
                <w:i/>
                <w:iCs/>
                <w:sz w:val="16"/>
                <w:szCs w:val="16"/>
                <w:lang w:eastAsia="es-MX"/>
              </w:rPr>
              <w:t xml:space="preserve"> Cualquier otra información que sea de utilidad o se considere relevante, además de la que, con base en la información estadística, responda a las preguntas hechas con</w:t>
            </w:r>
            <w:r>
              <w:rPr>
                <w:rFonts w:ascii="Calibri Light" w:eastAsia="Times New Roman" w:hAnsi="Calibri Light" w:cs="Arial"/>
                <w:i/>
                <w:iCs/>
                <w:sz w:val="16"/>
                <w:szCs w:val="16"/>
                <w:lang w:eastAsia="es-MX"/>
              </w:rPr>
              <w:t xml:space="preserve"> más frecuencia por el público.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7942D8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4255C1" w:rsidRPr="003F2DEB" w:rsidRDefault="004255C1" w:rsidP="004255C1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3F2DEB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NOTA IMPORTANTE: </w:t>
            </w:r>
          </w:p>
          <w:p w:rsidR="004255C1" w:rsidRPr="003F2DEB" w:rsidRDefault="004255C1" w:rsidP="004255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4255C1" w:rsidRPr="003F2DEB" w:rsidRDefault="004255C1" w:rsidP="004255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F2DEB">
              <w:rPr>
                <w:rFonts w:ascii="Candara" w:eastAsia="Times New Roman" w:hAnsi="Candara" w:cs="Times New Roman"/>
                <w:sz w:val="18"/>
                <w:lang w:eastAsia="es-MX"/>
              </w:rPr>
              <w:t>Adicionalmente,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en esta fracción se publicará:</w:t>
            </w:r>
          </w:p>
          <w:p w:rsidR="004255C1" w:rsidRDefault="004255C1" w:rsidP="004255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3F2DEB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El Índice de Expedientes Clasificados como Reservados. </w:t>
            </w:r>
          </w:p>
          <w:p w:rsidR="004255C1" w:rsidRPr="004255C1" w:rsidRDefault="004255C1" w:rsidP="004255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3F2DEB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Las cuotas por derechos de reproducción de la información, en términos de lo dispuesto por los artículos 141 de la Ley General de Transparencia y Acceso a la Información Pública; y 113 f. IV, 120 y 125 de la Ley de Transparencia y Acceso a la Información Pública para el estado de Oaxaca.</w:t>
            </w:r>
          </w:p>
          <w:p w:rsidR="004255C1" w:rsidRPr="003F2DEB" w:rsidRDefault="004255C1" w:rsidP="004255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F2DEB">
              <w:rPr>
                <w:rFonts w:ascii="Candara" w:eastAsia="Times New Roman" w:hAnsi="Candara" w:cs="Times New Roman"/>
                <w:sz w:val="18"/>
                <w:lang w:eastAsia="es-MX"/>
              </w:rPr>
              <w:t>En cuanto al IECR, el ejercicio 2018 se publicará en el portal institucional del sujeto obligado quien deberá enviar al IAIP, la URL de la publicación.</w:t>
            </w:r>
          </w:p>
          <w:p w:rsidR="004255C1" w:rsidRPr="003F2DEB" w:rsidRDefault="004255C1" w:rsidP="004255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F2DEB">
              <w:rPr>
                <w:rFonts w:ascii="Candara" w:eastAsia="Times New Roman" w:hAnsi="Candara" w:cs="Times New Roman"/>
                <w:sz w:val="18"/>
                <w:lang w:eastAsia="es-MX"/>
              </w:rPr>
              <w:t>Para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la publicación de la información relativa a</w:t>
            </w:r>
            <w:r w:rsidRPr="003F2DEB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las cuotas por derechos de reproducción de la información, el IAIP elaborará el formato respectivo de manera conjunta con los sujetos obligados. </w:t>
            </w:r>
          </w:p>
          <w:p w:rsidR="004255C1" w:rsidRPr="003F2DEB" w:rsidRDefault="004255C1" w:rsidP="004255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4255C1" w:rsidRPr="003F2DEB" w:rsidRDefault="004255C1" w:rsidP="004255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F2DEB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En su momento el IAIP aprobará los formatos que 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cada</w:t>
            </w:r>
            <w:r w:rsidRPr="003F2DEB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sujeto obligado utilizará para la publicación de la información de interés público, en términos de lo dispuesto por el numeral Décimo sexto de los Lineamientos para determinar los catálogos y publicación de información de interés público; y para la emisión y evaluación de políticas de transparencia proactiva. </w:t>
            </w:r>
          </w:p>
          <w:p w:rsidR="0052039F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  <w:p w:rsidR="004255C1" w:rsidRPr="006246E7" w:rsidRDefault="004255C1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Archivo, Unidad de Transparencia</w:t>
            </w:r>
            <w:r w:rsidR="00675C2C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 (todas las Unidades Administrativas)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48a LGT_Art_70_Fr_XLVIII</w:t>
            </w:r>
          </w:p>
          <w:p w:rsidR="0052039F" w:rsidRPr="00340EC8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48b LGT_Art_70_Fr_XLVIII</w:t>
            </w:r>
          </w:p>
          <w:p w:rsidR="0052039F" w:rsidRPr="00340EC8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</w:t>
            </w:r>
            <w:proofErr w:type="spellStart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</w:t>
            </w:r>
            <w:proofErr w:type="spellEnd"/>
            <w:r w:rsidRPr="00340EC8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48c LGT_Art_70_Fr_XLVIII</w:t>
            </w:r>
          </w:p>
        </w:tc>
      </w:tr>
      <w:tr w:rsidR="0052039F" w:rsidRPr="00421686" w:rsidTr="00840B2B">
        <w:trPr>
          <w:cantSplit/>
          <w:trHeight w:val="38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421686">
              <w:rPr>
                <w:rFonts w:ascii="Calibri Light" w:eastAsia="Times New Roman" w:hAnsi="Calibri Light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Último párrafo </w:t>
            </w:r>
          </w:p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.</w:t>
            </w:r>
          </w:p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</w:pPr>
          </w:p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*TABLA DE APLICABILIDAD INTEGRA</w:t>
            </w:r>
            <w:r w:rsidR="00263789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L</w:t>
            </w:r>
          </w:p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*TABLAS DE ACTUALIZACIÓN Y CONSERVACIÓN DE LA INFORMACIÓN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6246E7" w:rsidRDefault="0052039F" w:rsidP="007942D8">
            <w:pPr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Unidad de Transparencia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6246E7" w:rsidRDefault="0052039F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Formato 70_00 LGT_Art_70</w:t>
            </w:r>
          </w:p>
        </w:tc>
      </w:tr>
      <w:tr w:rsidR="0052039F" w:rsidRPr="00E66C62" w:rsidTr="00840B2B">
        <w:trPr>
          <w:cantSplit/>
          <w:trHeight w:val="90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LGT</w:t>
            </w:r>
          </w:p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</w:pPr>
          </w:p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Artículo 80. </w:t>
            </w:r>
            <w:r w:rsidRPr="00421686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>Para determinar la información adicional que publicarán todos los sujetos obligados de manera obligatoria, los Organismos garantes deberán:</w:t>
            </w:r>
          </w:p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I. </w:t>
            </w:r>
            <w:r w:rsidRPr="00421686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II. </w:t>
            </w:r>
            <w:r w:rsidRPr="00421686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>Revisar el listado que remitió el sujeto obligado con base en las funciones, atribuciones y competencias que la normatividad aplicable le otorgue, y</w:t>
            </w:r>
          </w:p>
          <w:p w:rsidR="0052039F" w:rsidRPr="00421686" w:rsidRDefault="0052039F" w:rsidP="007942D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III. </w:t>
            </w:r>
            <w:r w:rsidRPr="00421686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>Determinar el catálogo de información que el sujeto obligado deberá publicar como obligación de transparencia.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2039F" w:rsidRPr="004255C1" w:rsidRDefault="0052039F" w:rsidP="007942D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8"/>
                <w:lang w:eastAsia="es-MX"/>
              </w:rPr>
            </w:pPr>
            <w:r w:rsidRPr="004255C1">
              <w:rPr>
                <w:rFonts w:ascii="Candara" w:eastAsia="Times New Roman" w:hAnsi="Candara" w:cs="Times New Roman"/>
                <w:b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2039F" w:rsidRPr="006246E7" w:rsidRDefault="004255C1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9F29D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La publicación de la información del Formato 1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</w:t>
            </w:r>
            <w:r w:rsidRPr="009F29D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LGT_Art_80_Fr_I_II_III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corresponde al Instituto de Acceso a la Información Pública y Protección de Datos Personales.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2039F" w:rsidRPr="006246E7" w:rsidRDefault="00263789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Unidad de Transparencia</w:t>
            </w:r>
            <w:r w:rsidR="00675C2C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 (todas las Unidades Administrativas)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039F" w:rsidRPr="00340EC8" w:rsidRDefault="004255C1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1b</w:t>
            </w:r>
            <w:r w:rsidRPr="00A30F35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LGT_Art_80_Fr_I_II_III</w:t>
            </w:r>
          </w:p>
        </w:tc>
      </w:tr>
      <w:tr w:rsidR="00675C2C" w:rsidRPr="00E66C62" w:rsidTr="00413A79">
        <w:trPr>
          <w:cantSplit/>
          <w:trHeight w:val="983"/>
          <w:jc w:val="center"/>
        </w:trPr>
        <w:tc>
          <w:tcPr>
            <w:tcW w:w="2263" w:type="dxa"/>
            <w:shd w:val="clear" w:color="auto" w:fill="auto"/>
          </w:tcPr>
          <w:p w:rsidR="004255C1" w:rsidRPr="00200567" w:rsidRDefault="004255C1" w:rsidP="004255C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20056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LTO</w:t>
            </w:r>
          </w:p>
          <w:p w:rsidR="004255C1" w:rsidRPr="00200567" w:rsidRDefault="004255C1" w:rsidP="004255C1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4255C1" w:rsidRPr="00200567" w:rsidRDefault="004255C1" w:rsidP="004255C1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20056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*</w:t>
            </w:r>
            <w:r w:rsidRPr="0020056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21.</w:t>
            </w:r>
          </w:p>
          <w:p w:rsidR="004255C1" w:rsidRPr="00200567" w:rsidRDefault="004255C1" w:rsidP="004255C1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20056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4255C1" w:rsidRPr="00200567" w:rsidRDefault="004255C1" w:rsidP="004255C1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20056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Además de lo señalado en el artículo 70 de la Ley General, el Poder Ejecutivo del Estado, deberá poner a disposición del público y actualizar la siguiente información:</w:t>
            </w:r>
          </w:p>
          <w:p w:rsidR="00675C2C" w:rsidRDefault="00675C2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2B400C" w:rsidRDefault="002B400C">
            <w:pPr>
              <w:pStyle w:val="Default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2B400C" w:rsidRDefault="002B400C">
            <w:pPr>
              <w:pStyle w:val="Default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2B400C" w:rsidRDefault="002B400C">
            <w:pPr>
              <w:pStyle w:val="Default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675C2C" w:rsidRDefault="004255C1">
            <w:pPr>
              <w:pStyle w:val="Default"/>
              <w:rPr>
                <w:rFonts w:ascii="Candara" w:hAnsi="Candara" w:cs="Candara"/>
                <w:sz w:val="18"/>
                <w:szCs w:val="18"/>
              </w:rPr>
            </w:pPr>
            <w:proofErr w:type="spellStart"/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</w:t>
            </w:r>
            <w:r w:rsidRPr="0016057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VIII</w:t>
            </w:r>
            <w:proofErr w:type="spellEnd"/>
            <w:r w:rsidRPr="0016057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.</w:t>
            </w:r>
            <w:r w:rsidR="002B400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 w:rsidRPr="00C56340">
              <w:rPr>
                <w:rFonts w:ascii="Candara" w:hAnsi="Candara"/>
                <w:i/>
                <w:sz w:val="18"/>
                <w:szCs w:val="18"/>
              </w:rPr>
              <w:t>Las demás que le señalen esta Ley y demás disposiciones normativas aplicables</w:t>
            </w:r>
          </w:p>
        </w:tc>
        <w:tc>
          <w:tcPr>
            <w:tcW w:w="1043" w:type="dxa"/>
            <w:shd w:val="clear" w:color="auto" w:fill="auto"/>
          </w:tcPr>
          <w:p w:rsidR="00675C2C" w:rsidRDefault="00675C2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93" w:type="dxa"/>
            <w:shd w:val="clear" w:color="auto" w:fill="auto"/>
          </w:tcPr>
          <w:p w:rsidR="002B400C" w:rsidRPr="00200567" w:rsidRDefault="002B400C" w:rsidP="002B400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200567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NOTA IMPORTANTE:</w:t>
            </w:r>
          </w:p>
          <w:p w:rsidR="002B400C" w:rsidRPr="00200567" w:rsidRDefault="002B400C" w:rsidP="002B400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  <w:p w:rsidR="002B400C" w:rsidRDefault="002B400C" w:rsidP="002B400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sz w:val="18"/>
                <w:lang w:eastAsia="es-MX"/>
              </w:rPr>
            </w:pPr>
            <w:r w:rsidRPr="00200567">
              <w:rPr>
                <w:rFonts w:ascii="Candara" w:eastAsia="Times New Roman" w:hAnsi="Candara" w:cs="Times New Roman"/>
                <w:b/>
                <w:i/>
                <w:sz w:val="18"/>
                <w:lang w:eastAsia="es-MX"/>
              </w:rPr>
              <w:t>“…considerando que la información señalada en las fracciones I, II, III, IV, V, VI y VII del artículo 21 de la Ley Local corresponden al mismo tipo de información referida en los incisos a, b, d, e, f, y g, de la fracción I del artículo 71 de la Ley General que se refiere a las obligaciones de transparencia específicas a cargo de los Poderes Ejecutivos Federal, de las Entidades Federativas, y de los Municipios, la publicación de la información incluido el inciso c, se realizará en los formatos y bajo los requerimientos señalados en los  Lineamientos Técnicos Generales.”</w:t>
            </w:r>
          </w:p>
          <w:p w:rsidR="002B400C" w:rsidRDefault="002B400C" w:rsidP="002B400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sz w:val="18"/>
                <w:lang w:eastAsia="es-MX"/>
              </w:rPr>
            </w:pPr>
          </w:p>
          <w:p w:rsidR="002B400C" w:rsidRDefault="002B400C" w:rsidP="002B400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*</w:t>
            </w:r>
            <w:r w:rsidRPr="00200567">
              <w:rPr>
                <w:rFonts w:ascii="Candara" w:eastAsia="Times New Roman" w:hAnsi="Candara" w:cs="Times New Roman"/>
                <w:sz w:val="18"/>
                <w:lang w:eastAsia="es-MX"/>
              </w:rPr>
              <w:t>Lineamientos técnicos generales para la publicación de las obligaciones de transparencia establecidas en el Capítulo II del Título Segundo de la Ley de Transparencia y Acceso a la Información Pública para el Estado de Oaxaca.</w:t>
            </w:r>
          </w:p>
          <w:p w:rsidR="00675C2C" w:rsidRDefault="00675C2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675C2C" w:rsidRPr="006246E7" w:rsidRDefault="002B400C" w:rsidP="007942D8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Unidad de Transparencia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B400C" w:rsidRPr="00A30F35" w:rsidRDefault="002B400C" w:rsidP="002B400C">
            <w:pPr>
              <w:spacing w:after="0"/>
              <w:rPr>
                <w:rFonts w:ascii="Candara" w:hAnsi="Candara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0F35">
              <w:rPr>
                <w:rFonts w:ascii="Candara" w:hAnsi="Candara" w:cstheme="minorHAnsi"/>
                <w:color w:val="000000"/>
                <w:sz w:val="18"/>
                <w:szCs w:val="18"/>
                <w:lang w:val="en-US"/>
              </w:rPr>
              <w:t>Formato</w:t>
            </w:r>
            <w:proofErr w:type="spellEnd"/>
            <w:r w:rsidRPr="00A30F35">
              <w:rPr>
                <w:rFonts w:ascii="Candara" w:hAnsi="Candara" w:cstheme="minorHAnsi"/>
                <w:color w:val="000000"/>
                <w:sz w:val="18"/>
                <w:szCs w:val="18"/>
                <w:lang w:val="en-US"/>
              </w:rPr>
              <w:t xml:space="preserve">  LTO_Art_21a_Fr_VIII</w:t>
            </w:r>
          </w:p>
          <w:p w:rsidR="00675C2C" w:rsidRPr="002B400C" w:rsidRDefault="002B400C" w:rsidP="002B400C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proofErr w:type="spellStart"/>
            <w:r w:rsidRPr="00A30F35">
              <w:rPr>
                <w:rFonts w:ascii="Candara" w:hAnsi="Candara" w:cstheme="minorHAnsi"/>
                <w:color w:val="000000"/>
                <w:sz w:val="18"/>
                <w:szCs w:val="18"/>
                <w:lang w:val="en-US"/>
              </w:rPr>
              <w:t>Formato</w:t>
            </w:r>
            <w:proofErr w:type="spellEnd"/>
            <w:r w:rsidRPr="00A30F35">
              <w:rPr>
                <w:rFonts w:ascii="Candara" w:hAnsi="Candara" w:cstheme="minorHAnsi"/>
                <w:color w:val="000000"/>
                <w:sz w:val="18"/>
                <w:szCs w:val="18"/>
                <w:lang w:val="en-US"/>
              </w:rPr>
              <w:t xml:space="preserve">  LTO_Art_21b_Fr_VIII</w:t>
            </w:r>
          </w:p>
        </w:tc>
      </w:tr>
      <w:tr w:rsidR="00675C2C" w:rsidRPr="00E66C62" w:rsidTr="00675C2C">
        <w:trPr>
          <w:cantSplit/>
          <w:trHeight w:val="15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2C" w:rsidRPr="00421686" w:rsidRDefault="00675C2C" w:rsidP="004B0B3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LTO</w:t>
            </w:r>
          </w:p>
          <w:p w:rsidR="00675C2C" w:rsidRPr="00421686" w:rsidRDefault="00675C2C" w:rsidP="004B0B3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* Artículo 2</w:t>
            </w:r>
            <w:r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8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. </w:t>
            </w:r>
          </w:p>
          <w:p w:rsidR="00675C2C" w:rsidRPr="00BE70A5" w:rsidRDefault="00675C2C" w:rsidP="004B0B3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BE70A5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…</w:t>
            </w:r>
          </w:p>
          <w:p w:rsidR="00675C2C" w:rsidRPr="00BE70A5" w:rsidRDefault="00675C2C" w:rsidP="004B0B3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675C2C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Además de lo señalado en el artículo 75 de la Ley General, y en los artículos 19 y 20 de esta Ley, las universidades públicas e instituciones de educación superior pública, deberán poner a disposición del público y mantener actualizada la siguiente información: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2C" w:rsidRPr="00BE70A5" w:rsidRDefault="00675C2C" w:rsidP="00675C2C">
            <w:pPr>
              <w:spacing w:after="240"/>
              <w:jc w:val="both"/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</w:pPr>
            <w:proofErr w:type="spellStart"/>
            <w:r w:rsidRPr="00675C2C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>I.</w:t>
            </w:r>
            <w:r w:rsidRPr="00BE70A5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>Los</w:t>
            </w:r>
            <w:proofErr w:type="spellEnd"/>
            <w:r w:rsidRPr="00BE70A5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 xml:space="preserve"> planes y programas de estudio según el sistema que ofrecen, ya sea escolarizado o abierto, con las áreas de conocimiento, el perfil profesional requerido para cursar el plan de estudios, la duración del programa con las asignaturas por semestre, su valor de créditos y una descripción sintética para cada una de ellas; </w:t>
            </w:r>
          </w:p>
          <w:p w:rsidR="00675C2C" w:rsidRPr="00BE70A5" w:rsidRDefault="00675C2C" w:rsidP="00675C2C">
            <w:pPr>
              <w:spacing w:after="240"/>
              <w:jc w:val="both"/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</w:pPr>
            <w:r w:rsidRPr="00675C2C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>II.</w:t>
            </w:r>
            <w:r w:rsidRPr="00BE70A5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 xml:space="preserve"> Toda la información relacionada con sus procedimientos de admisión; </w:t>
            </w:r>
          </w:p>
          <w:p w:rsidR="00675C2C" w:rsidRPr="00BE70A5" w:rsidRDefault="00675C2C" w:rsidP="00675C2C">
            <w:pPr>
              <w:spacing w:after="240"/>
              <w:jc w:val="both"/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</w:pPr>
            <w:r w:rsidRPr="00675C2C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>III.</w:t>
            </w:r>
            <w:r w:rsidRPr="00BE70A5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 xml:space="preserve"> Los programas de becas y apoyos, los requisitos y el procedimiento para acceder a los mismos; </w:t>
            </w:r>
          </w:p>
          <w:p w:rsidR="00675C2C" w:rsidRPr="00BE70A5" w:rsidRDefault="00675C2C" w:rsidP="00675C2C">
            <w:pPr>
              <w:spacing w:after="240"/>
              <w:jc w:val="both"/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</w:pPr>
            <w:r w:rsidRPr="00675C2C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>IV.</w:t>
            </w:r>
            <w:r w:rsidRPr="00BE70A5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 xml:space="preserve"> Los indicadores de resultados en las evaluaciones al desempeño de la planta académica; </w:t>
            </w:r>
          </w:p>
          <w:p w:rsidR="00675C2C" w:rsidRPr="00BE70A5" w:rsidRDefault="00675C2C" w:rsidP="00675C2C">
            <w:pPr>
              <w:spacing w:after="240"/>
              <w:jc w:val="both"/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</w:pPr>
            <w:r w:rsidRPr="00675C2C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>V.</w:t>
            </w:r>
            <w:r w:rsidRPr="00BE70A5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 xml:space="preserve"> El número de estudiantes que egresan por ciclo escolar, por escuela o facultad; </w:t>
            </w:r>
          </w:p>
          <w:p w:rsidR="00675C2C" w:rsidRPr="00675C2C" w:rsidRDefault="00675C2C" w:rsidP="002B400C">
            <w:pPr>
              <w:spacing w:after="240"/>
              <w:jc w:val="both"/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</w:pPr>
            <w:r w:rsidRPr="00675C2C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>VI.</w:t>
            </w:r>
            <w:r w:rsidRPr="00BE70A5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 xml:space="preserve"> El calendario del ciclo escolar.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2C" w:rsidRPr="006246E7" w:rsidRDefault="00675C2C" w:rsidP="00675C2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2C" w:rsidRPr="006246E7" w:rsidRDefault="00675C2C" w:rsidP="00675C2C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2C" w:rsidRPr="006246E7" w:rsidRDefault="00675C2C" w:rsidP="002B400C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Departamento de Servicios Escolares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2C" w:rsidRPr="00675C2C" w:rsidRDefault="00675C2C" w:rsidP="00675C2C">
            <w:pPr>
              <w:pStyle w:val="Ttulo3"/>
              <w:spacing w:after="240"/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n-US" w:eastAsia="es-MX"/>
              </w:rPr>
            </w:pPr>
            <w:proofErr w:type="spellStart"/>
            <w:r w:rsidRPr="00675C2C"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n-US" w:eastAsia="es-MX"/>
              </w:rPr>
              <w:t>Formato</w:t>
            </w:r>
            <w:proofErr w:type="spellEnd"/>
            <w:r w:rsidRPr="00675C2C"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n-US" w:eastAsia="es-MX"/>
              </w:rPr>
              <w:t xml:space="preserve"> LTO_Art_28_Fr_I</w:t>
            </w:r>
          </w:p>
          <w:p w:rsidR="00675C2C" w:rsidRPr="00675C2C" w:rsidRDefault="00675C2C" w:rsidP="00675C2C">
            <w:pPr>
              <w:pStyle w:val="Ttulo3"/>
              <w:spacing w:after="240"/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n-US" w:eastAsia="es-MX"/>
              </w:rPr>
            </w:pPr>
            <w:proofErr w:type="spellStart"/>
            <w:r w:rsidRPr="00675C2C"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n-US" w:eastAsia="es-MX"/>
              </w:rPr>
              <w:t>Formato</w:t>
            </w:r>
            <w:proofErr w:type="spellEnd"/>
            <w:r w:rsidRPr="00675C2C"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n-US" w:eastAsia="es-MX"/>
              </w:rPr>
              <w:t xml:space="preserve"> LTO_Art_28_Fr_II</w:t>
            </w:r>
          </w:p>
          <w:p w:rsidR="00675C2C" w:rsidRPr="00675C2C" w:rsidRDefault="00675C2C" w:rsidP="00675C2C">
            <w:pPr>
              <w:pStyle w:val="Ttulo3"/>
              <w:spacing w:after="240"/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n-US" w:eastAsia="es-MX"/>
              </w:rPr>
            </w:pPr>
            <w:proofErr w:type="spellStart"/>
            <w:r w:rsidRPr="00675C2C"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n-US" w:eastAsia="es-MX"/>
              </w:rPr>
              <w:t>Formato</w:t>
            </w:r>
            <w:proofErr w:type="spellEnd"/>
            <w:r w:rsidRPr="00675C2C"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n-US" w:eastAsia="es-MX"/>
              </w:rPr>
              <w:t xml:space="preserve"> LTO_Art_28_Fr_III</w:t>
            </w:r>
          </w:p>
          <w:p w:rsidR="00675C2C" w:rsidRPr="00675C2C" w:rsidRDefault="00675C2C" w:rsidP="00675C2C">
            <w:pPr>
              <w:pStyle w:val="Ttulo3"/>
              <w:spacing w:after="240"/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n-US" w:eastAsia="es-MX"/>
              </w:rPr>
            </w:pPr>
            <w:proofErr w:type="spellStart"/>
            <w:r w:rsidRPr="00675C2C"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n-US" w:eastAsia="es-MX"/>
              </w:rPr>
              <w:t>Formato</w:t>
            </w:r>
            <w:proofErr w:type="spellEnd"/>
            <w:r w:rsidRPr="00675C2C"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n-US" w:eastAsia="es-MX"/>
              </w:rPr>
              <w:t xml:space="preserve"> LTO_Art_28_Fr_IV</w:t>
            </w:r>
          </w:p>
          <w:p w:rsidR="00675C2C" w:rsidRPr="00675C2C" w:rsidRDefault="00675C2C" w:rsidP="00675C2C">
            <w:pPr>
              <w:pStyle w:val="Ttulo3"/>
              <w:spacing w:after="240"/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n-US" w:eastAsia="es-MX"/>
              </w:rPr>
            </w:pPr>
            <w:proofErr w:type="spellStart"/>
            <w:r w:rsidRPr="00675C2C"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n-US" w:eastAsia="es-MX"/>
              </w:rPr>
              <w:t>Formato</w:t>
            </w:r>
            <w:proofErr w:type="spellEnd"/>
            <w:r w:rsidRPr="00675C2C"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n-US" w:eastAsia="es-MX"/>
              </w:rPr>
              <w:t xml:space="preserve"> LTO_Art_28_Fr_V</w:t>
            </w:r>
          </w:p>
          <w:p w:rsidR="00675C2C" w:rsidRPr="00675C2C" w:rsidRDefault="00675C2C" w:rsidP="00675C2C">
            <w:pPr>
              <w:pStyle w:val="Ttulo3"/>
              <w:spacing w:after="240"/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n-US" w:eastAsia="es-MX"/>
              </w:rPr>
            </w:pPr>
            <w:proofErr w:type="spellStart"/>
            <w:r w:rsidRPr="00675C2C"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n-US" w:eastAsia="es-MX"/>
              </w:rPr>
              <w:t>Formato</w:t>
            </w:r>
            <w:proofErr w:type="spellEnd"/>
            <w:r w:rsidRPr="00675C2C"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n-US" w:eastAsia="es-MX"/>
              </w:rPr>
              <w:t xml:space="preserve"> LTO_Art_28_Fr_VI</w:t>
            </w:r>
          </w:p>
        </w:tc>
      </w:tr>
      <w:tr w:rsidR="00413A79" w:rsidRPr="006246E7" w:rsidTr="00413A79">
        <w:trPr>
          <w:cantSplit/>
          <w:trHeight w:val="15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79" w:rsidRPr="00421686" w:rsidRDefault="00413A79" w:rsidP="004B0B3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LTO</w:t>
            </w:r>
          </w:p>
          <w:p w:rsidR="00413A79" w:rsidRPr="00421686" w:rsidRDefault="00413A79" w:rsidP="004B0B3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36</w:t>
            </w:r>
            <w:r w:rsidRPr="00675C2C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. Los sujetos obligados que realicen obra pública, deberán difundir físicamente en el lugar de la obra, una placa o inscripción que señale que fue realizada con recursos públicos y el costo de la misma.  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79" w:rsidRPr="00421686" w:rsidRDefault="00413A79" w:rsidP="004B0B3E">
            <w:pPr>
              <w:spacing w:after="240" w:line="240" w:lineRule="auto"/>
              <w:jc w:val="both"/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>Es así que, para la atención de lo dispuesto en el artículo en comento, los sujetos obligados pondrán a disposición del público, en el lugar de la obra, una leyenda que señale fue realizada con recursos públicos y su costo total. Adicionalmente, publicarán las fotos de la obra en su portal electrónico y en la Plataforma Nacional de Transparencia.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79" w:rsidRPr="006246E7" w:rsidRDefault="00413A79" w:rsidP="004B0B3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79" w:rsidRPr="006246E7" w:rsidRDefault="00413A79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79" w:rsidRPr="006246E7" w:rsidRDefault="00413A79" w:rsidP="004B0B3E">
            <w:pPr>
              <w:spacing w:after="0" w:line="240" w:lineRule="auto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Vice-Rectoría de Administración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79" w:rsidRPr="006246E7" w:rsidRDefault="00413A79" w:rsidP="004B0B3E">
            <w:pPr>
              <w:pStyle w:val="Ttulo3"/>
              <w:spacing w:after="240"/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s-MX" w:eastAsia="es-MX"/>
              </w:rPr>
            </w:pPr>
            <w:r w:rsidRPr="006246E7"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s-MX" w:eastAsia="es-MX"/>
              </w:rPr>
              <w:t>Formato  36 LTO_Art_36</w:t>
            </w:r>
          </w:p>
        </w:tc>
      </w:tr>
    </w:tbl>
    <w:p w:rsidR="00CB29BD" w:rsidRPr="00E67722" w:rsidRDefault="00CB29BD" w:rsidP="00CB29BD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  <w:lang w:val="es-MX"/>
        </w:rPr>
      </w:pPr>
    </w:p>
    <w:p w:rsidR="002B400C" w:rsidRDefault="002B400C" w:rsidP="00AC078C">
      <w:pPr>
        <w:jc w:val="right"/>
        <w:rPr>
          <w:b/>
          <w:sz w:val="20"/>
        </w:rPr>
      </w:pPr>
    </w:p>
    <w:p w:rsidR="006C6175" w:rsidRPr="006B0725" w:rsidRDefault="006C6175" w:rsidP="00CB29BD">
      <w:pPr>
        <w:jc w:val="right"/>
        <w:rPr>
          <w:b/>
          <w:i/>
          <w:sz w:val="16"/>
          <w:szCs w:val="18"/>
        </w:rPr>
      </w:pPr>
    </w:p>
    <w:tbl>
      <w:tblPr>
        <w:tblStyle w:val="Tablaconcuadrcula"/>
        <w:tblW w:w="0" w:type="auto"/>
        <w:jc w:val="center"/>
        <w:tblInd w:w="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4127"/>
        <w:gridCol w:w="4127"/>
      </w:tblGrid>
      <w:tr w:rsidR="002B400C" w:rsidRPr="0085175D" w:rsidTr="002B400C">
        <w:trPr>
          <w:trHeight w:val="1143"/>
          <w:jc w:val="center"/>
        </w:trPr>
        <w:tc>
          <w:tcPr>
            <w:tcW w:w="4126" w:type="dxa"/>
          </w:tcPr>
          <w:p w:rsidR="002B400C" w:rsidRPr="0085175D" w:rsidRDefault="002657CF" w:rsidP="002B400C">
            <w:pPr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noProof/>
                <w:sz w:val="18"/>
                <w:lang w:eastAsia="es-MX"/>
              </w:rPr>
              <w:lastRenderedPageBreak/>
              <w:pict>
                <v:line id="3 Conector recto" o:spid="_x0000_s1028" style="position:absolute;z-index:251662336;visibility:visible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S/sgEAAL8DAAAOAAAAZHJzL2Uyb0RvYy54bWysU02PEzEMvSPxH6Lc6fQDEIw63UNXcEFQ&#10;wfIDshmnEymJIyd0pv8eJ21nESAhEJckTvxsv2dnezd5J05AyWLo5GqxlAKCxt6GYye/Prx78UaK&#10;lFXolcMAnTxDkne758+2Y2xhjQO6HkhwkJDaMXZyyDm2TZP0AF6lBUYI/GiQvMps0rHpSY0c3btm&#10;vVy+bkakPhJqSIlv7y+PclfjGwM6fzImQRauk1xbrivV9bGszW6r2iOpOFh9LUP9QxVe2cBJ51D3&#10;KivxjewvobzVhAlNXmj0DRpjNVQOzGa1/InNl0FFqFxYnBRnmdL/C6s/ng4kbN/JjRRBeW7RRuy5&#10;VTojCSpb0WiMqWXXfTjQ1UrxQIXwZMiXnamIqep6nnWFKQvNl6uXbzev1iy/vr01T8BIKb8H9KIc&#10;OulsKJRVq04fUuZk7HpzYaMUckldT/nsoDi78BkM0yjJKroOEOwdiZPi1iutIeRVocLxqneBGevc&#10;DFz+GXj1L1Cow/U34BlRM2PIM9jbgPS77Hm6lWwu/jcFLryLBI/Yn2tTqjQ8JZXhdaLLGP5oV/jT&#10;v9t9BwAA//8DAFBLAwQUAAYACAAAACEAMPiB198AAAAKAQAADwAAAGRycy9kb3ducmV2LnhtbEyP&#10;20rDQBCG7wXfYRnBG2k3TQ/UmE1RofTCitj0AbbZMQlmZ0N2k6Y+vSMIevkf+OebdDPaRgzY+dqR&#10;gtk0AoFUOFNTqeCYbydrED5oMrpxhAou6GGTXV+lOjHuTO84HEIpeIR8ohVUIbSJlL6o0Go/dS0S&#10;Zx+uszqw7EppOn3mcdvIOIpW0uqa+EKlW3yusPg89FbBbvuEL8tLXy7McpffDfn+9ettrdTtzfj4&#10;ACLgGP7K8IPP6JAx08n1ZLxoFEzmTB7Yj+J7EFyI57MFiNOvI7NU/n8h+wYAAP//AwBQSwECLQAU&#10;AAYACAAAACEAtoM4kv4AAADhAQAAEwAAAAAAAAAAAAAAAAAAAAAAW0NvbnRlbnRfVHlwZXNdLnht&#10;bFBLAQItABQABgAIAAAAIQA4/SH/1gAAAJQBAAALAAAAAAAAAAAAAAAAAC8BAABfcmVscy8ucmVs&#10;c1BLAQItABQABgAIAAAAIQDOvJS/sgEAAL8DAAAOAAAAAAAAAAAAAAAAAC4CAABkcnMvZTJvRG9j&#10;LnhtbFBLAQItABQABgAIAAAAIQAw+IHX3wAAAAoBAAAPAAAAAAAAAAAAAAAAAAwEAABkcnMvZG93&#10;bnJldi54bWxQSwUGAAAAAAQABADzAAAAGAUAAAAA&#10;" strokecolor="#4579b8 [3044]"/>
              </w:pict>
            </w:r>
            <w:r w:rsidR="002B400C" w:rsidRPr="0085175D">
              <w:rPr>
                <w:rFonts w:ascii="Candara" w:eastAsia="Calibri" w:hAnsi="Candara" w:cs="Times New Roman"/>
                <w:sz w:val="18"/>
              </w:rPr>
              <w:t>Elaboró</w:t>
            </w:r>
          </w:p>
        </w:tc>
        <w:tc>
          <w:tcPr>
            <w:tcW w:w="4127" w:type="dxa"/>
          </w:tcPr>
          <w:p w:rsidR="002B400C" w:rsidRPr="0085175D" w:rsidRDefault="002657CF" w:rsidP="002B400C">
            <w:pPr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noProof/>
                <w:sz w:val="18"/>
                <w:lang w:eastAsia="es-MX"/>
              </w:rPr>
              <w:pict>
                <v:line id="1 Conector recto" o:spid="_x0000_s1026" style="position:absolute;z-index:251660288;visibility:visible;mso-position-horizontal-relative:text;mso-position-vertical-relative:text;mso-width-relative:margin;mso-height-relative:margin" from="-.6pt,50.25pt" to="129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0sgEAAL8DAAAOAAAAZHJzL2Uyb0RvYy54bWysU02PEzEMvSPxH6Lc6cxUsIJRp3voCi4I&#10;Kj5+QDbjdCIlceSETvvvcdJ2FgESAnFJ4sTP9nt2Nvcn78QRKFkMg+xWrRQQNI42HAb59cvbF6+l&#10;SFmFUTkMMMgzJHm/ff5sM8ce1jihG4EEBwmpn+Mgp5xj3zRJT+BVWmGEwI8GyavMJh2akdTM0b1r&#10;1m1718xIYyTUkBLfPlwe5bbGNwZ0/mhMgizcILm2XFeq62NZm+1G9QdScbL6Wob6hyq8soGTLqEe&#10;VFbiG9lfQnmrCROavNLoGzTGaqgcmE3X/sTm86QiVC4sToqLTOn/hdUfjnsSduTeSRGU5xZ1Yset&#10;0hlJUNmKRnNMPbvuwp6uVop7KoRPhnzZmYo4VV3Pi65wykLzZXf38tWbNcuvb2/NEzBSyu8AvSiH&#10;QTobCmXVq+P7lDkZu95c2CiFXFLXUz47KM4ufALDNEqyiq4DBDtH4qi49UprCLkrVDhe9S4wY51b&#10;gO2fgVf/AoU6XH8DXhA1M4a8gL0NSL/Lnk+3ks3F/6bAhXeR4BHHc21KlYanpDK8TnQZwx/tCn/6&#10;d9vvAAAA//8DAFBLAwQUAAYACAAAACEAq8uSqN4AAAAKAQAADwAAAGRycy9kb3ducmV2LnhtbEyP&#10;3UrDQBCF7wXfYRnBG2k3DUZCmk1RofRCpdj4ANvsNAlmZ0N2k6Y+vSMIejlnPs5PvpltJyYcfOtI&#10;wWoZgUCqnGmpVvBRbhcpCB80Gd05QgUX9LAprq9ynRl3pnecDqEWbEI+0wqaEPpMSl81aLVfuh6J&#10;fyc3WB34HGppBn1mc9vJOIoepNUtcUKje3xusPo8jFbBbvuEL8llrO9NsivvpvL17WufKnV7Mz+u&#10;QQScwx8MP/W5OhTc6ehGMl50CharmEnWoygBwUCcpDzu+KvIIpf/JxTfAAAA//8DAFBLAQItABQA&#10;BgAIAAAAIQC2gziS/gAAAOEBAAATAAAAAAAAAAAAAAAAAAAAAABbQ29udGVudF9UeXBlc10ueG1s&#10;UEsBAi0AFAAGAAgAAAAhADj9If/WAAAAlAEAAAsAAAAAAAAAAAAAAAAALwEAAF9yZWxzLy5yZWxz&#10;UEsBAi0AFAAGAAgAAAAhAA4HBrSyAQAAvwMAAA4AAAAAAAAAAAAAAAAALgIAAGRycy9lMm9Eb2Mu&#10;eG1sUEsBAi0AFAAGAAgAAAAhAKvLkqjeAAAACgEAAA8AAAAAAAAAAAAAAAAADAQAAGRycy9kb3du&#10;cmV2LnhtbFBLBQYAAAAABAAEAPMAAAAXBQAAAAA=&#10;" strokecolor="#4579b8 [3044]"/>
              </w:pict>
            </w:r>
            <w:r w:rsidR="002B400C" w:rsidRPr="0085175D">
              <w:rPr>
                <w:rFonts w:ascii="Candara" w:eastAsia="Calibri" w:hAnsi="Candara" w:cs="Times New Roman"/>
                <w:sz w:val="18"/>
              </w:rPr>
              <w:t>Supervisó</w:t>
            </w:r>
          </w:p>
        </w:tc>
        <w:tc>
          <w:tcPr>
            <w:tcW w:w="4127" w:type="dxa"/>
          </w:tcPr>
          <w:p w:rsidR="002B400C" w:rsidRPr="0085175D" w:rsidRDefault="002657CF" w:rsidP="002B400C">
            <w:pPr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noProof/>
                <w:sz w:val="18"/>
                <w:lang w:eastAsia="es-MX"/>
              </w:rPr>
              <w:pict>
                <v:line id="2 Conector recto" o:spid="_x0000_s1027" style="position:absolute;z-index:251661312;visibility:visible;mso-position-horizontal-relative:text;mso-position-vertical-relative:text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1QsgEAAL8DAAAOAAAAZHJzL2Uyb0RvYy54bWysU02PGyEMvVfqf0Dcm5lkpdVqlMkesmov&#10;VRv14wewjMkgAUaGZib/voYks1VbqWrVC2Dws/2ezfZx9k6cgJLF0Mv1qpUCgsbBhmMvv355++ZB&#10;ipRVGJTDAL08Q5KPu9evtlPsYIMjugFIcJCQuin2csw5dk2T9AhepRVGCPxokLzKbNKxGUhNHN27&#10;ZtO2982ENERCDSnx7dPlUe5qfGNA54/GJMjC9ZJry3Wluj6XtdltVXckFUerr2Wof6jCKxs46RLq&#10;SWUlvpH9JZS3mjChySuNvkFjrIbKgdms25/YfB5VhMqFxUlxkSn9v7D6w+lAwg693EgRlOcWbcSe&#10;W6UzkqCyFY2mmDp23YcDXa0UD1QIz4Z82ZmKmKuu50VXmLPQfLm+v3u4a1l+fXtrXoCRUn4H6EU5&#10;9NLZUCirTp3ep8zJ2PXmwkYp5JK6nvLZQXF24RMYplGSVXQdINg7EifFrVdaQ8jrQoXjVe8CM9a5&#10;Bdj+GXj1L1Cow/U34AVRM2PIC9jbgPS77Hm+lWwu/jcFLryLBM84nGtTqjQ8JZXhdaLLGP5oV/jL&#10;v9t9BwAA//8DAFBLAwQUAAYACAAAACEAPKD+qt8AAAAKAQAADwAAAGRycy9kb3ducmV2LnhtbEyP&#10;0UrDQBBF3wX/YRnBF2k3RlNrzKaoUPpQRdr4AdvsmASzsyG7SVO/3hEEfZw7hztnstVkWzFi7xtH&#10;Cq7nEQik0pmGKgXvxXq2BOGDJqNbR6jghB5W+flZplPjjrTDcR8qwSXkU62gDqFLpfRljVb7ueuQ&#10;ePfheqsDj30lTa+PXG5bGUfRQlrdEF+odYfPNZaf+8Eq2KyfcJuchurWJJviaixeXr/elkpdXkyP&#10;DyACTuEPhh99VoecnQ5uIONFq2AW3zDJeRTfg2AgTpI7EIffROaZ/P9C/g0AAP//AwBQSwECLQAU&#10;AAYACAAAACEAtoM4kv4AAADhAQAAEwAAAAAAAAAAAAAAAAAAAAAAW0NvbnRlbnRfVHlwZXNdLnht&#10;bFBLAQItABQABgAIAAAAIQA4/SH/1gAAAJQBAAALAAAAAAAAAAAAAAAAAC8BAABfcmVscy8ucmVs&#10;c1BLAQItABQABgAIAAAAIQCPA71QsgEAAL8DAAAOAAAAAAAAAAAAAAAAAC4CAABkcnMvZTJvRG9j&#10;LnhtbFBLAQItABQABgAIAAAAIQA8oP6q3wAAAAoBAAAPAAAAAAAAAAAAAAAAAAwEAABkcnMvZG93&#10;bnJldi54bWxQSwUGAAAAAAQABADzAAAAGAUAAAAA&#10;" strokecolor="#4579b8 [3044]"/>
              </w:pict>
            </w:r>
            <w:r w:rsidR="002B400C" w:rsidRPr="0085175D">
              <w:rPr>
                <w:rFonts w:ascii="Candara" w:eastAsia="Calibri" w:hAnsi="Candara" w:cs="Times New Roman"/>
                <w:sz w:val="18"/>
              </w:rPr>
              <w:t>Autorizó</w:t>
            </w:r>
          </w:p>
        </w:tc>
      </w:tr>
      <w:tr w:rsidR="002B400C" w:rsidRPr="0085175D" w:rsidTr="002B400C">
        <w:trPr>
          <w:trHeight w:val="205"/>
          <w:jc w:val="center"/>
        </w:trPr>
        <w:tc>
          <w:tcPr>
            <w:tcW w:w="4126" w:type="dxa"/>
          </w:tcPr>
          <w:p w:rsidR="002B400C" w:rsidRDefault="002B400C" w:rsidP="002B400C">
            <w:pPr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Lic. Thomas Aguilar Mendoza</w:t>
            </w:r>
          </w:p>
          <w:p w:rsidR="002B400C" w:rsidRPr="0085175D" w:rsidRDefault="002B400C" w:rsidP="002B400C">
            <w:pPr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Jefe del Departamento de Quejas y Denuncias</w:t>
            </w:r>
          </w:p>
        </w:tc>
        <w:tc>
          <w:tcPr>
            <w:tcW w:w="4127" w:type="dxa"/>
          </w:tcPr>
          <w:p w:rsidR="002B400C" w:rsidRDefault="002B400C" w:rsidP="002B400C">
            <w:pPr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sz w:val="18"/>
              </w:rPr>
              <w:t>Lic. Lucila Martínez Altamirano</w:t>
            </w:r>
          </w:p>
          <w:p w:rsidR="002B400C" w:rsidRPr="0085175D" w:rsidRDefault="002B400C" w:rsidP="002B400C">
            <w:pPr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Sub Directora Jurídica</w:t>
            </w:r>
          </w:p>
        </w:tc>
        <w:tc>
          <w:tcPr>
            <w:tcW w:w="4127" w:type="dxa"/>
          </w:tcPr>
          <w:p w:rsidR="002B400C" w:rsidRDefault="002B400C" w:rsidP="002B400C">
            <w:pPr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sz w:val="18"/>
              </w:rPr>
              <w:t>Lic. Ricardo Dorantes Jiménez</w:t>
            </w:r>
          </w:p>
          <w:p w:rsidR="002B400C" w:rsidRPr="0085175D" w:rsidRDefault="002B400C" w:rsidP="002B400C">
            <w:pPr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Director de Asuntos Jurídicos</w:t>
            </w:r>
          </w:p>
        </w:tc>
      </w:tr>
    </w:tbl>
    <w:p w:rsidR="002B400C" w:rsidRPr="0085175D" w:rsidRDefault="002B400C" w:rsidP="002B400C">
      <w:pPr>
        <w:jc w:val="both"/>
        <w:rPr>
          <w:rFonts w:ascii="Candara" w:eastAsia="Calibri" w:hAnsi="Candara" w:cs="Times New Roman"/>
          <w:sz w:val="18"/>
        </w:rPr>
      </w:pPr>
    </w:p>
    <w:p w:rsidR="002B400C" w:rsidRDefault="002B400C" w:rsidP="002B400C">
      <w:pPr>
        <w:jc w:val="right"/>
        <w:rPr>
          <w:rFonts w:ascii="Candara" w:eastAsia="Calibri" w:hAnsi="Candara" w:cs="Times New Roman"/>
          <w:sz w:val="18"/>
        </w:rPr>
      </w:pPr>
      <w:r>
        <w:rPr>
          <w:rFonts w:ascii="Candara" w:eastAsia="Calibri" w:hAnsi="Candara" w:cs="Times New Roman"/>
          <w:sz w:val="18"/>
        </w:rPr>
        <w:t xml:space="preserve">NOTA: </w:t>
      </w:r>
      <w:r w:rsidRPr="0085175D">
        <w:rPr>
          <w:rFonts w:ascii="Candara" w:eastAsia="Calibri" w:hAnsi="Candara" w:cs="Times New Roman"/>
          <w:sz w:val="18"/>
        </w:rPr>
        <w:t>La validación de la  presente  tabla de</w:t>
      </w:r>
      <w:r w:rsidRPr="0085175D">
        <w:rPr>
          <w:rFonts w:ascii="Candara" w:hAnsi="Candara"/>
          <w:sz w:val="18"/>
        </w:rPr>
        <w:t xml:space="preserve"> aplicabilidad</w:t>
      </w:r>
      <w:r w:rsidRPr="0085175D">
        <w:rPr>
          <w:rFonts w:ascii="Candara" w:eastAsia="Calibri" w:hAnsi="Candara" w:cs="Times New Roman"/>
          <w:sz w:val="18"/>
        </w:rPr>
        <w:t xml:space="preserve"> es susceptible de </w:t>
      </w:r>
      <w:proofErr w:type="spellStart"/>
      <w:r w:rsidRPr="0085175D">
        <w:rPr>
          <w:rFonts w:ascii="Candara" w:eastAsia="Calibri" w:hAnsi="Candara" w:cs="Times New Roman"/>
          <w:sz w:val="18"/>
        </w:rPr>
        <w:t>modifica</w:t>
      </w:r>
      <w:r>
        <w:rPr>
          <w:rFonts w:ascii="Candara" w:eastAsia="Calibri" w:hAnsi="Candara" w:cs="Times New Roman"/>
          <w:sz w:val="18"/>
        </w:rPr>
        <w:t>ciónpor</w:t>
      </w:r>
      <w:proofErr w:type="spellEnd"/>
      <w:r>
        <w:rPr>
          <w:rFonts w:ascii="Candara" w:eastAsia="Calibri" w:hAnsi="Candara" w:cs="Times New Roman"/>
          <w:sz w:val="18"/>
        </w:rPr>
        <w:t xml:space="preserve"> el Consejo General</w:t>
      </w:r>
      <w:r w:rsidRPr="0085175D">
        <w:rPr>
          <w:rFonts w:ascii="Candara" w:eastAsia="Calibri" w:hAnsi="Candara" w:cs="Times New Roman"/>
          <w:sz w:val="18"/>
        </w:rPr>
        <w:t xml:space="preserve"> de este Órgano Garante con base </w:t>
      </w:r>
      <w:proofErr w:type="spellStart"/>
      <w:r w:rsidRPr="0085175D">
        <w:rPr>
          <w:rFonts w:ascii="Candara" w:eastAsia="Calibri" w:hAnsi="Candara" w:cs="Times New Roman"/>
          <w:sz w:val="18"/>
        </w:rPr>
        <w:t>en</w:t>
      </w:r>
      <w:r>
        <w:rPr>
          <w:rFonts w:ascii="Candara" w:eastAsia="Calibri" w:hAnsi="Candara" w:cs="Times New Roman"/>
          <w:sz w:val="18"/>
        </w:rPr>
        <w:t>las</w:t>
      </w:r>
      <w:proofErr w:type="spellEnd"/>
      <w:r>
        <w:rPr>
          <w:rFonts w:ascii="Candara" w:eastAsia="Calibri" w:hAnsi="Candara" w:cs="Times New Roman"/>
          <w:sz w:val="18"/>
        </w:rPr>
        <w:t xml:space="preserve"> disposiciones legales aplicables</w:t>
      </w:r>
      <w:r w:rsidRPr="0085175D">
        <w:rPr>
          <w:rFonts w:ascii="Candara" w:eastAsia="Calibri" w:hAnsi="Candara" w:cs="Times New Roman"/>
          <w:sz w:val="18"/>
        </w:rPr>
        <w:t xml:space="preserve">. </w:t>
      </w:r>
    </w:p>
    <w:p w:rsidR="002B400C" w:rsidRDefault="002B400C" w:rsidP="002B400C">
      <w:pPr>
        <w:jc w:val="right"/>
        <w:rPr>
          <w:b/>
          <w:sz w:val="20"/>
        </w:rPr>
      </w:pPr>
      <w:r>
        <w:rPr>
          <w:b/>
          <w:sz w:val="20"/>
        </w:rPr>
        <w:t xml:space="preserve">Ocotlán de Morelos, </w:t>
      </w:r>
      <w:proofErr w:type="spellStart"/>
      <w:r>
        <w:rPr>
          <w:b/>
          <w:sz w:val="20"/>
        </w:rPr>
        <w:t>Oax</w:t>
      </w:r>
      <w:proofErr w:type="spellEnd"/>
      <w:r>
        <w:rPr>
          <w:b/>
          <w:sz w:val="20"/>
        </w:rPr>
        <w:t>.</w:t>
      </w:r>
      <w:r w:rsidRPr="006B0725">
        <w:rPr>
          <w:b/>
          <w:sz w:val="20"/>
        </w:rPr>
        <w:t xml:space="preserve">, </w:t>
      </w:r>
      <w:r>
        <w:rPr>
          <w:b/>
          <w:sz w:val="20"/>
        </w:rPr>
        <w:t>21</w:t>
      </w:r>
      <w:r w:rsidRPr="006B0725">
        <w:rPr>
          <w:b/>
          <w:sz w:val="20"/>
        </w:rPr>
        <w:t xml:space="preserve"> de marzo de dos mil dieciocho.</w:t>
      </w:r>
    </w:p>
    <w:p w:rsidR="002B400C" w:rsidRPr="00B610B0" w:rsidRDefault="002B400C" w:rsidP="002B400C">
      <w:pPr>
        <w:jc w:val="right"/>
        <w:rPr>
          <w:rFonts w:ascii="Candara" w:hAnsi="Candara"/>
          <w:sz w:val="18"/>
        </w:rPr>
      </w:pPr>
    </w:p>
    <w:p w:rsidR="004E7272" w:rsidRPr="00CB29BD" w:rsidRDefault="004E7272" w:rsidP="00AC078C">
      <w:pPr>
        <w:tabs>
          <w:tab w:val="left" w:pos="9562"/>
        </w:tabs>
        <w:spacing w:after="0"/>
        <w:rPr>
          <w:b/>
          <w:sz w:val="18"/>
          <w:szCs w:val="18"/>
        </w:rPr>
      </w:pPr>
    </w:p>
    <w:sectPr w:rsidR="004E7272" w:rsidRPr="00CB29BD" w:rsidSect="00CC1472">
      <w:headerReference w:type="default" r:id="rId7"/>
      <w:footerReference w:type="default" r:id="rId8"/>
      <w:pgSz w:w="15840" w:h="12240" w:orient="landscape" w:code="1"/>
      <w:pgMar w:top="2066" w:right="720" w:bottom="993" w:left="720" w:header="426" w:footer="5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0BF" w:rsidRDefault="009820BF" w:rsidP="00AB50CA">
      <w:pPr>
        <w:spacing w:after="0" w:line="240" w:lineRule="auto"/>
      </w:pPr>
      <w:r>
        <w:separator/>
      </w:r>
    </w:p>
  </w:endnote>
  <w:endnote w:type="continuationSeparator" w:id="0">
    <w:p w:rsidR="009820BF" w:rsidRDefault="009820BF" w:rsidP="00AB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3E" w:rsidRDefault="004B0B3E">
    <w:pPr>
      <w:pStyle w:val="Piedepgina"/>
      <w:ind w:right="-864"/>
      <w:jc w:val="right"/>
    </w:pPr>
  </w:p>
  <w:p w:rsidR="004B0B3E" w:rsidRPr="000A18CF" w:rsidRDefault="004B0B3E" w:rsidP="000A18CF">
    <w:pPr>
      <w:pStyle w:val="Piedepgina"/>
      <w:jc w:val="center"/>
      <w:rPr>
        <w:rFonts w:ascii="Futura Bk BT" w:hAnsi="Futura Bk BT"/>
        <w:color w:val="7F7F7F" w:themeColor="text1" w:themeTint="80"/>
        <w:sz w:val="16"/>
      </w:rPr>
    </w:pPr>
    <w:r w:rsidRPr="000A18CF">
      <w:rPr>
        <w:rFonts w:ascii="Futura Bk BT" w:hAnsi="Futura Bk BT"/>
        <w:color w:val="7F7F7F" w:themeColor="text1" w:themeTint="80"/>
        <w:sz w:val="16"/>
        <w:lang w:val="es-ES"/>
      </w:rPr>
      <w:t xml:space="preserve">Página </w:t>
    </w:r>
    <w:r w:rsidR="002657CF" w:rsidRPr="000A18CF">
      <w:rPr>
        <w:rFonts w:ascii="Futura Bk BT" w:hAnsi="Futura Bk BT"/>
        <w:b/>
        <w:bCs/>
        <w:color w:val="7F7F7F" w:themeColor="text1" w:themeTint="80"/>
        <w:sz w:val="16"/>
      </w:rPr>
      <w:fldChar w:fldCharType="begin"/>
    </w:r>
    <w:r w:rsidRPr="000A18CF">
      <w:rPr>
        <w:rFonts w:ascii="Futura Bk BT" w:hAnsi="Futura Bk BT"/>
        <w:b/>
        <w:bCs/>
        <w:color w:val="7F7F7F" w:themeColor="text1" w:themeTint="80"/>
        <w:sz w:val="16"/>
      </w:rPr>
      <w:instrText>PAGE  \* Arabic  \* MERGEFORMAT</w:instrText>
    </w:r>
    <w:r w:rsidR="002657CF" w:rsidRPr="000A18CF">
      <w:rPr>
        <w:rFonts w:ascii="Futura Bk BT" w:hAnsi="Futura Bk BT"/>
        <w:b/>
        <w:bCs/>
        <w:color w:val="7F7F7F" w:themeColor="text1" w:themeTint="80"/>
        <w:sz w:val="16"/>
      </w:rPr>
      <w:fldChar w:fldCharType="separate"/>
    </w:r>
    <w:r w:rsidR="00E66C62" w:rsidRPr="00E66C62">
      <w:rPr>
        <w:rFonts w:ascii="Futura Bk BT" w:hAnsi="Futura Bk BT"/>
        <w:b/>
        <w:bCs/>
        <w:noProof/>
        <w:color w:val="7F7F7F" w:themeColor="text1" w:themeTint="80"/>
        <w:sz w:val="16"/>
        <w:lang w:val="es-ES"/>
      </w:rPr>
      <w:t>9</w:t>
    </w:r>
    <w:r w:rsidR="002657CF" w:rsidRPr="000A18CF">
      <w:rPr>
        <w:rFonts w:ascii="Futura Bk BT" w:hAnsi="Futura Bk BT"/>
        <w:b/>
        <w:bCs/>
        <w:color w:val="7F7F7F" w:themeColor="text1" w:themeTint="80"/>
        <w:sz w:val="16"/>
      </w:rPr>
      <w:fldChar w:fldCharType="end"/>
    </w:r>
    <w:r w:rsidRPr="000A18CF">
      <w:rPr>
        <w:rFonts w:ascii="Futura Bk BT" w:hAnsi="Futura Bk BT"/>
        <w:color w:val="7F7F7F" w:themeColor="text1" w:themeTint="80"/>
        <w:sz w:val="16"/>
        <w:lang w:val="es-ES"/>
      </w:rPr>
      <w:t xml:space="preserve"> de </w:t>
    </w:r>
    <w:fldSimple w:instr="NUMPAGES  \* Arabic  \* MERGEFORMAT">
      <w:r w:rsidR="00E66C62" w:rsidRPr="00E66C62">
        <w:rPr>
          <w:rFonts w:ascii="Futura Bk BT" w:hAnsi="Futura Bk BT"/>
          <w:b/>
          <w:bCs/>
          <w:noProof/>
          <w:color w:val="7F7F7F" w:themeColor="text1" w:themeTint="80"/>
          <w:sz w:val="16"/>
          <w:lang w:val="es-ES"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0BF" w:rsidRDefault="009820BF" w:rsidP="00AB50CA">
      <w:pPr>
        <w:spacing w:after="0" w:line="240" w:lineRule="auto"/>
      </w:pPr>
      <w:r>
        <w:separator/>
      </w:r>
    </w:p>
  </w:footnote>
  <w:footnote w:type="continuationSeparator" w:id="0">
    <w:p w:rsidR="009820BF" w:rsidRDefault="009820BF" w:rsidP="00AB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3E" w:rsidRPr="00ED7816" w:rsidRDefault="004B0B3E" w:rsidP="0052039F">
    <w:pPr>
      <w:pStyle w:val="Encabezado"/>
      <w:jc w:val="center"/>
      <w:rPr>
        <w:lang w:val="en-US"/>
      </w:rPr>
    </w:pPr>
    <w:r>
      <w:rPr>
        <w:rFonts w:ascii="Monotype Corsiva" w:hAnsi="Monotype Corsiva"/>
        <w:b/>
        <w:noProof/>
        <w:sz w:val="56"/>
        <w:szCs w:val="56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-259081</wp:posOffset>
          </wp:positionV>
          <wp:extent cx="818284" cy="1000125"/>
          <wp:effectExtent l="19050" t="0" r="866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284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F09B2">
      <w:rPr>
        <w:rFonts w:ascii="Monotype Corsiva" w:hAnsi="Monotype Corsiva"/>
        <w:b/>
        <w:sz w:val="56"/>
        <w:szCs w:val="56"/>
        <w:lang w:val="en-US"/>
      </w:rPr>
      <w:t xml:space="preserve">N o v a U n </w:t>
    </w:r>
    <w:proofErr w:type="spellStart"/>
    <w:r w:rsidRPr="001F09B2">
      <w:rPr>
        <w:rFonts w:ascii="Monotype Corsiva" w:hAnsi="Monotype Corsiva"/>
        <w:b/>
        <w:sz w:val="56"/>
        <w:szCs w:val="56"/>
        <w:lang w:val="en-US"/>
      </w:rPr>
      <w:t>i</w:t>
    </w:r>
    <w:proofErr w:type="spellEnd"/>
    <w:r w:rsidRPr="001F09B2">
      <w:rPr>
        <w:rFonts w:ascii="Monotype Corsiva" w:hAnsi="Monotype Corsiva"/>
        <w:b/>
        <w:sz w:val="56"/>
        <w:szCs w:val="56"/>
        <w:lang w:val="en-US"/>
      </w:rPr>
      <w:t xml:space="preserve"> v e r s </w:t>
    </w:r>
    <w:proofErr w:type="spellStart"/>
    <w:r w:rsidRPr="001F09B2">
      <w:rPr>
        <w:rFonts w:ascii="Monotype Corsiva" w:hAnsi="Monotype Corsiva"/>
        <w:b/>
        <w:sz w:val="56"/>
        <w:szCs w:val="56"/>
        <w:lang w:val="en-US"/>
      </w:rPr>
      <w:t>i</w:t>
    </w:r>
    <w:proofErr w:type="spellEnd"/>
    <w:r w:rsidRPr="001F09B2">
      <w:rPr>
        <w:rFonts w:ascii="Monotype Corsiva" w:hAnsi="Monotype Corsiva"/>
        <w:b/>
        <w:sz w:val="56"/>
        <w:szCs w:val="56"/>
        <w:lang w:val="en-US"/>
      </w:rPr>
      <w:t xml:space="preserve"> t a s</w:t>
    </w:r>
  </w:p>
  <w:p w:rsidR="004B0B3E" w:rsidRPr="0052039F" w:rsidRDefault="004B0B3E" w:rsidP="0052039F">
    <w:pPr>
      <w:pStyle w:val="Subttulo"/>
      <w:tabs>
        <w:tab w:val="left" w:pos="12616"/>
      </w:tabs>
      <w:ind w:left="1843" w:right="1642"/>
      <w:jc w:val="center"/>
      <w:rPr>
        <w:rFonts w:ascii="Arial" w:hAnsi="Arial" w:cs="Arial"/>
        <w:smallCaps/>
        <w:spacing w:val="22"/>
      </w:rPr>
    </w:pPr>
    <w:r w:rsidRPr="007B5184">
      <w:rPr>
        <w:lang w:val="en-US"/>
      </w:rPr>
      <w:t xml:space="preserve"> </w:t>
    </w:r>
    <w:r w:rsidRPr="0005306A">
      <w:rPr>
        <w:rFonts w:ascii="Arial" w:hAnsi="Arial" w:cs="Arial"/>
      </w:rPr>
      <w:t xml:space="preserve">TABLA DE APLICABILIDAD </w:t>
    </w:r>
    <w:r>
      <w:rPr>
        <w:rFonts w:ascii="Arial" w:hAnsi="Arial" w:cs="Arial"/>
      </w:rPr>
      <w:t>INTEGRAL</w:t>
    </w:r>
    <w:r w:rsidRPr="0005306A">
      <w:rPr>
        <w:rFonts w:ascii="Arial" w:hAnsi="Arial" w:cs="Arial"/>
      </w:rPr>
      <w:t xml:space="preserve"> DE NOVAUNIVERSITAS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8003F"/>
    <w:multiLevelType w:val="hybridMultilevel"/>
    <w:tmpl w:val="1E5E7900"/>
    <w:lvl w:ilvl="0" w:tplc="F9C0E30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86D04"/>
    <w:rsid w:val="00012405"/>
    <w:rsid w:val="00021F6A"/>
    <w:rsid w:val="00022837"/>
    <w:rsid w:val="00030587"/>
    <w:rsid w:val="00040E3E"/>
    <w:rsid w:val="00043E97"/>
    <w:rsid w:val="00043FEB"/>
    <w:rsid w:val="00044A8C"/>
    <w:rsid w:val="00045A4B"/>
    <w:rsid w:val="000475C1"/>
    <w:rsid w:val="0005186E"/>
    <w:rsid w:val="00066359"/>
    <w:rsid w:val="00075DF6"/>
    <w:rsid w:val="000765D7"/>
    <w:rsid w:val="000826F1"/>
    <w:rsid w:val="0008304C"/>
    <w:rsid w:val="00083DEC"/>
    <w:rsid w:val="00097202"/>
    <w:rsid w:val="000A0200"/>
    <w:rsid w:val="000A18CF"/>
    <w:rsid w:val="000E0289"/>
    <w:rsid w:val="000E27EA"/>
    <w:rsid w:val="000E7563"/>
    <w:rsid w:val="000F2AA4"/>
    <w:rsid w:val="000F7861"/>
    <w:rsid w:val="00115E06"/>
    <w:rsid w:val="001250BD"/>
    <w:rsid w:val="00140F5E"/>
    <w:rsid w:val="0015556C"/>
    <w:rsid w:val="00164F60"/>
    <w:rsid w:val="001724EE"/>
    <w:rsid w:val="00174173"/>
    <w:rsid w:val="00181BEB"/>
    <w:rsid w:val="00192F64"/>
    <w:rsid w:val="001A0126"/>
    <w:rsid w:val="001B1A08"/>
    <w:rsid w:val="001E3D91"/>
    <w:rsid w:val="001E58C4"/>
    <w:rsid w:val="001F1476"/>
    <w:rsid w:val="001F5181"/>
    <w:rsid w:val="001F533C"/>
    <w:rsid w:val="001F7672"/>
    <w:rsid w:val="00204446"/>
    <w:rsid w:val="002053DE"/>
    <w:rsid w:val="0023745B"/>
    <w:rsid w:val="00241AF6"/>
    <w:rsid w:val="00251753"/>
    <w:rsid w:val="00260CE5"/>
    <w:rsid w:val="00263789"/>
    <w:rsid w:val="0026378D"/>
    <w:rsid w:val="002657CF"/>
    <w:rsid w:val="0026744E"/>
    <w:rsid w:val="00282B8D"/>
    <w:rsid w:val="002953A8"/>
    <w:rsid w:val="00296855"/>
    <w:rsid w:val="002A1093"/>
    <w:rsid w:val="002B400C"/>
    <w:rsid w:val="002F2096"/>
    <w:rsid w:val="002F30F9"/>
    <w:rsid w:val="002F34FF"/>
    <w:rsid w:val="002F5B50"/>
    <w:rsid w:val="00340EC8"/>
    <w:rsid w:val="00342CCE"/>
    <w:rsid w:val="0034728F"/>
    <w:rsid w:val="00351C54"/>
    <w:rsid w:val="00351FC7"/>
    <w:rsid w:val="0035573C"/>
    <w:rsid w:val="00362FF7"/>
    <w:rsid w:val="00377CBB"/>
    <w:rsid w:val="003909AD"/>
    <w:rsid w:val="00391E6C"/>
    <w:rsid w:val="003A456B"/>
    <w:rsid w:val="003C1ED5"/>
    <w:rsid w:val="003D4B68"/>
    <w:rsid w:val="003E13B0"/>
    <w:rsid w:val="003F0760"/>
    <w:rsid w:val="00411B4C"/>
    <w:rsid w:val="00413A79"/>
    <w:rsid w:val="0042142A"/>
    <w:rsid w:val="00421686"/>
    <w:rsid w:val="004255C1"/>
    <w:rsid w:val="00436D26"/>
    <w:rsid w:val="004542D1"/>
    <w:rsid w:val="00461732"/>
    <w:rsid w:val="00464566"/>
    <w:rsid w:val="00465309"/>
    <w:rsid w:val="00480278"/>
    <w:rsid w:val="00485230"/>
    <w:rsid w:val="00485325"/>
    <w:rsid w:val="00497158"/>
    <w:rsid w:val="004973C4"/>
    <w:rsid w:val="004A12F9"/>
    <w:rsid w:val="004B0B3E"/>
    <w:rsid w:val="004B1DBA"/>
    <w:rsid w:val="004C4EBE"/>
    <w:rsid w:val="004D1952"/>
    <w:rsid w:val="004E7272"/>
    <w:rsid w:val="004F08BD"/>
    <w:rsid w:val="00505566"/>
    <w:rsid w:val="00510E07"/>
    <w:rsid w:val="00511AFE"/>
    <w:rsid w:val="00514952"/>
    <w:rsid w:val="005151AE"/>
    <w:rsid w:val="0052039F"/>
    <w:rsid w:val="00534AC0"/>
    <w:rsid w:val="00535D22"/>
    <w:rsid w:val="00560338"/>
    <w:rsid w:val="0056191E"/>
    <w:rsid w:val="00577E56"/>
    <w:rsid w:val="00586D04"/>
    <w:rsid w:val="005A4682"/>
    <w:rsid w:val="005B619B"/>
    <w:rsid w:val="005C776B"/>
    <w:rsid w:val="005D5ACD"/>
    <w:rsid w:val="005F0CA3"/>
    <w:rsid w:val="006028A3"/>
    <w:rsid w:val="006246E7"/>
    <w:rsid w:val="00630490"/>
    <w:rsid w:val="00631E99"/>
    <w:rsid w:val="00631FF1"/>
    <w:rsid w:val="00636C45"/>
    <w:rsid w:val="00643DFB"/>
    <w:rsid w:val="00647A3C"/>
    <w:rsid w:val="00655C9A"/>
    <w:rsid w:val="006571CF"/>
    <w:rsid w:val="00657231"/>
    <w:rsid w:val="00662A83"/>
    <w:rsid w:val="00675C2C"/>
    <w:rsid w:val="00684670"/>
    <w:rsid w:val="006939A1"/>
    <w:rsid w:val="006A4C2C"/>
    <w:rsid w:val="006B0725"/>
    <w:rsid w:val="006B5924"/>
    <w:rsid w:val="006C6175"/>
    <w:rsid w:val="006D136A"/>
    <w:rsid w:val="006E5261"/>
    <w:rsid w:val="006F6F3D"/>
    <w:rsid w:val="0070741D"/>
    <w:rsid w:val="0071791C"/>
    <w:rsid w:val="00717F7F"/>
    <w:rsid w:val="00730B0A"/>
    <w:rsid w:val="00737DE1"/>
    <w:rsid w:val="0074236A"/>
    <w:rsid w:val="00743AE8"/>
    <w:rsid w:val="00753598"/>
    <w:rsid w:val="00755FEF"/>
    <w:rsid w:val="00790747"/>
    <w:rsid w:val="007942D8"/>
    <w:rsid w:val="007B271D"/>
    <w:rsid w:val="007B5184"/>
    <w:rsid w:val="007C5834"/>
    <w:rsid w:val="007D441C"/>
    <w:rsid w:val="007D5630"/>
    <w:rsid w:val="007E1281"/>
    <w:rsid w:val="007E7C14"/>
    <w:rsid w:val="0080384F"/>
    <w:rsid w:val="00807DEF"/>
    <w:rsid w:val="00811BB6"/>
    <w:rsid w:val="00815C9E"/>
    <w:rsid w:val="00817276"/>
    <w:rsid w:val="00821F53"/>
    <w:rsid w:val="00822975"/>
    <w:rsid w:val="0083106A"/>
    <w:rsid w:val="00833AD9"/>
    <w:rsid w:val="0083521D"/>
    <w:rsid w:val="008375A5"/>
    <w:rsid w:val="00840B2B"/>
    <w:rsid w:val="00850E48"/>
    <w:rsid w:val="0086030A"/>
    <w:rsid w:val="0087368B"/>
    <w:rsid w:val="008977C2"/>
    <w:rsid w:val="008B1A00"/>
    <w:rsid w:val="008E3C29"/>
    <w:rsid w:val="008F3C2B"/>
    <w:rsid w:val="008F73A0"/>
    <w:rsid w:val="009025F3"/>
    <w:rsid w:val="00931367"/>
    <w:rsid w:val="009332D7"/>
    <w:rsid w:val="00934078"/>
    <w:rsid w:val="009465D5"/>
    <w:rsid w:val="00950D6A"/>
    <w:rsid w:val="00954CC1"/>
    <w:rsid w:val="00960BE1"/>
    <w:rsid w:val="009820BF"/>
    <w:rsid w:val="009856D7"/>
    <w:rsid w:val="00987DC8"/>
    <w:rsid w:val="0099078E"/>
    <w:rsid w:val="0099169F"/>
    <w:rsid w:val="009936C2"/>
    <w:rsid w:val="009A3655"/>
    <w:rsid w:val="009B1A11"/>
    <w:rsid w:val="009C2C0D"/>
    <w:rsid w:val="009C3C6C"/>
    <w:rsid w:val="009C6CC5"/>
    <w:rsid w:val="009D668B"/>
    <w:rsid w:val="009E2338"/>
    <w:rsid w:val="00A0538B"/>
    <w:rsid w:val="00A21496"/>
    <w:rsid w:val="00A2603A"/>
    <w:rsid w:val="00A418BC"/>
    <w:rsid w:val="00A4522B"/>
    <w:rsid w:val="00A5270B"/>
    <w:rsid w:val="00A56F31"/>
    <w:rsid w:val="00A612E8"/>
    <w:rsid w:val="00A62F4A"/>
    <w:rsid w:val="00A81766"/>
    <w:rsid w:val="00A84E09"/>
    <w:rsid w:val="00A87669"/>
    <w:rsid w:val="00A902C8"/>
    <w:rsid w:val="00AA0D16"/>
    <w:rsid w:val="00AB50CA"/>
    <w:rsid w:val="00AC078C"/>
    <w:rsid w:val="00AC2459"/>
    <w:rsid w:val="00AC24EA"/>
    <w:rsid w:val="00AD65BC"/>
    <w:rsid w:val="00AE5BCC"/>
    <w:rsid w:val="00B001D5"/>
    <w:rsid w:val="00B00937"/>
    <w:rsid w:val="00B01A67"/>
    <w:rsid w:val="00B027A0"/>
    <w:rsid w:val="00B20347"/>
    <w:rsid w:val="00B26FFF"/>
    <w:rsid w:val="00B36455"/>
    <w:rsid w:val="00B57E41"/>
    <w:rsid w:val="00B74519"/>
    <w:rsid w:val="00B83B31"/>
    <w:rsid w:val="00B84E60"/>
    <w:rsid w:val="00B858EB"/>
    <w:rsid w:val="00B97AF3"/>
    <w:rsid w:val="00BC1ABB"/>
    <w:rsid w:val="00BC6B35"/>
    <w:rsid w:val="00BD7EE3"/>
    <w:rsid w:val="00BE6DE9"/>
    <w:rsid w:val="00BE70A5"/>
    <w:rsid w:val="00BF1955"/>
    <w:rsid w:val="00BF6FFE"/>
    <w:rsid w:val="00C15AC2"/>
    <w:rsid w:val="00C17A9E"/>
    <w:rsid w:val="00C23B58"/>
    <w:rsid w:val="00C254FE"/>
    <w:rsid w:val="00C2641B"/>
    <w:rsid w:val="00C264E9"/>
    <w:rsid w:val="00C3645A"/>
    <w:rsid w:val="00C374E4"/>
    <w:rsid w:val="00C621EA"/>
    <w:rsid w:val="00C65E44"/>
    <w:rsid w:val="00C66DDE"/>
    <w:rsid w:val="00C80EB5"/>
    <w:rsid w:val="00C83B9D"/>
    <w:rsid w:val="00C87718"/>
    <w:rsid w:val="00C94F60"/>
    <w:rsid w:val="00CA0043"/>
    <w:rsid w:val="00CA02AF"/>
    <w:rsid w:val="00CA064B"/>
    <w:rsid w:val="00CA51ED"/>
    <w:rsid w:val="00CA700E"/>
    <w:rsid w:val="00CB29BD"/>
    <w:rsid w:val="00CC0706"/>
    <w:rsid w:val="00CC1472"/>
    <w:rsid w:val="00CC58D1"/>
    <w:rsid w:val="00CD797B"/>
    <w:rsid w:val="00CE368E"/>
    <w:rsid w:val="00CF129C"/>
    <w:rsid w:val="00CF7939"/>
    <w:rsid w:val="00D00934"/>
    <w:rsid w:val="00D04133"/>
    <w:rsid w:val="00D15BCB"/>
    <w:rsid w:val="00D24A07"/>
    <w:rsid w:val="00D261C3"/>
    <w:rsid w:val="00D30671"/>
    <w:rsid w:val="00D70A2B"/>
    <w:rsid w:val="00D840AC"/>
    <w:rsid w:val="00D8581A"/>
    <w:rsid w:val="00D87297"/>
    <w:rsid w:val="00D9419B"/>
    <w:rsid w:val="00DB7179"/>
    <w:rsid w:val="00DC2738"/>
    <w:rsid w:val="00DD4AE4"/>
    <w:rsid w:val="00DD6FE1"/>
    <w:rsid w:val="00DE2A64"/>
    <w:rsid w:val="00DE4040"/>
    <w:rsid w:val="00DF2BB3"/>
    <w:rsid w:val="00DF387C"/>
    <w:rsid w:val="00E029AA"/>
    <w:rsid w:val="00E3603D"/>
    <w:rsid w:val="00E42D42"/>
    <w:rsid w:val="00E435BE"/>
    <w:rsid w:val="00E4576B"/>
    <w:rsid w:val="00E5173B"/>
    <w:rsid w:val="00E54D05"/>
    <w:rsid w:val="00E6101E"/>
    <w:rsid w:val="00E6512D"/>
    <w:rsid w:val="00E66C62"/>
    <w:rsid w:val="00E66D84"/>
    <w:rsid w:val="00E67722"/>
    <w:rsid w:val="00E774C4"/>
    <w:rsid w:val="00E9431B"/>
    <w:rsid w:val="00EA17DD"/>
    <w:rsid w:val="00EB1E59"/>
    <w:rsid w:val="00EB6049"/>
    <w:rsid w:val="00EF1F0E"/>
    <w:rsid w:val="00EF207B"/>
    <w:rsid w:val="00F014F6"/>
    <w:rsid w:val="00F07324"/>
    <w:rsid w:val="00F24942"/>
    <w:rsid w:val="00F24DB9"/>
    <w:rsid w:val="00F618AA"/>
    <w:rsid w:val="00F637F7"/>
    <w:rsid w:val="00F64C51"/>
    <w:rsid w:val="00F657E2"/>
    <w:rsid w:val="00F921DE"/>
    <w:rsid w:val="00FA557A"/>
    <w:rsid w:val="00FC2802"/>
    <w:rsid w:val="00FC37AE"/>
    <w:rsid w:val="00FD348C"/>
    <w:rsid w:val="00FD602E"/>
    <w:rsid w:val="00FE6BF2"/>
    <w:rsid w:val="00FF39DE"/>
    <w:rsid w:val="00FF644A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033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B027A0"/>
    <w:pPr>
      <w:ind w:left="720"/>
      <w:contextualSpacing/>
    </w:pPr>
  </w:style>
  <w:style w:type="character" w:customStyle="1" w:styleId="A0">
    <w:name w:val="A0"/>
    <w:uiPriority w:val="99"/>
    <w:rsid w:val="00C65E44"/>
    <w:rPr>
      <w:rFonts w:cs="Myriad Pro"/>
      <w:b/>
      <w:bCs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5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0CA"/>
  </w:style>
  <w:style w:type="paragraph" w:styleId="Piedepgina">
    <w:name w:val="footer"/>
    <w:basedOn w:val="Normal"/>
    <w:link w:val="PiedepginaCar"/>
    <w:uiPriority w:val="99"/>
    <w:unhideWhenUsed/>
    <w:rsid w:val="00AB5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0CA"/>
  </w:style>
  <w:style w:type="paragraph" w:styleId="Subttulo">
    <w:name w:val="Subtitle"/>
    <w:basedOn w:val="Normal"/>
    <w:next w:val="Normal"/>
    <w:link w:val="SubttuloCar"/>
    <w:uiPriority w:val="11"/>
    <w:qFormat/>
    <w:rsid w:val="00AB50CA"/>
    <w:pPr>
      <w:numPr>
        <w:ilvl w:val="1"/>
      </w:numPr>
    </w:pPr>
    <w:rPr>
      <w:rFonts w:ascii="Century Gothic" w:eastAsiaTheme="majorEastAsia" w:hAnsi="Century Gothic" w:cstheme="majorBidi"/>
      <w:b/>
      <w:iCs/>
      <w:color w:val="000000" w:themeColor="tex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B50CA"/>
    <w:rPr>
      <w:rFonts w:ascii="Century Gothic" w:eastAsiaTheme="majorEastAsia" w:hAnsi="Century Gothic" w:cstheme="majorBidi"/>
      <w:b/>
      <w:iCs/>
      <w:color w:val="000000" w:themeColor="tex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76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7CBB"/>
    <w:rPr>
      <w:color w:val="0000FF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BE6DE9"/>
    <w:rPr>
      <w:i/>
      <w:iCs/>
      <w:color w:val="808080" w:themeColor="text1" w:themeTint="7F"/>
    </w:rPr>
  </w:style>
  <w:style w:type="paragraph" w:customStyle="1" w:styleId="CuerpoA">
    <w:name w:val="Cuerpo A"/>
    <w:rsid w:val="00CB29BD"/>
    <w:rPr>
      <w:rFonts w:ascii="Calibri" w:eastAsia="Calibri" w:hAnsi="Calibri" w:cs="Calibri"/>
      <w:color w:val="000000"/>
      <w:u w:color="000000"/>
      <w:lang w:val="es-ES_tradnl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603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paragraph" w:customStyle="1" w:styleId="Default">
    <w:name w:val="Default"/>
    <w:rsid w:val="00BE7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2039F"/>
    <w:pPr>
      <w:spacing w:after="0" w:line="240" w:lineRule="auto"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qFormat/>
    <w:locked/>
    <w:rsid w:val="00425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3691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Almacen</cp:lastModifiedBy>
  <cp:revision>2</cp:revision>
  <cp:lastPrinted>2018-03-22T18:54:00Z</cp:lastPrinted>
  <dcterms:created xsi:type="dcterms:W3CDTF">2018-04-27T21:41:00Z</dcterms:created>
  <dcterms:modified xsi:type="dcterms:W3CDTF">2018-04-27T21:41:00Z</dcterms:modified>
</cp:coreProperties>
</file>